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2A5F7">
      <w:pPr>
        <w:pStyle w:val="41"/>
        <w:ind w:firstLine="723" w:firstLineChars="200"/>
        <w:jc w:val="both"/>
        <w:rPr>
          <w:rFonts w:hint="eastAsia" w:ascii="宋体" w:hAnsi="宋体" w:eastAsia="宋体" w:cs="宋体"/>
          <w:sz w:val="36"/>
          <w:szCs w:val="36"/>
        </w:rPr>
      </w:pPr>
      <w:bookmarkStart w:id="0" w:name="_Toc107920947"/>
      <w:r>
        <w:rPr>
          <w:rFonts w:hint="eastAsia" w:ascii="宋体" w:hAnsi="宋体" w:eastAsia="宋体" w:cs="宋体"/>
          <w:sz w:val="36"/>
          <w:szCs w:val="36"/>
        </w:rPr>
        <w:t>智慧医保服务平台信息系统</w:t>
      </w:r>
      <w:r>
        <w:rPr>
          <w:rFonts w:hint="eastAsia" w:ascii="宋体" w:hAnsi="宋体" w:eastAsia="宋体" w:cs="宋体"/>
          <w:sz w:val="36"/>
          <w:szCs w:val="36"/>
          <w:lang w:val="en-US" w:eastAsia="zh-CN"/>
        </w:rPr>
        <w:t>功能</w:t>
      </w:r>
      <w:r>
        <w:rPr>
          <w:rFonts w:hint="eastAsia" w:ascii="宋体" w:hAnsi="宋体" w:eastAsia="宋体" w:cs="宋体"/>
          <w:sz w:val="36"/>
          <w:szCs w:val="36"/>
        </w:rPr>
        <w:t>需求及技术要求</w:t>
      </w:r>
      <w:bookmarkEnd w:id="0"/>
      <w:bookmarkStart w:id="1" w:name="_Toc497486325"/>
    </w:p>
    <w:p w14:paraId="0DD0D327">
      <w:pPr>
        <w:pStyle w:val="41"/>
        <w:ind w:firstLine="643" w:firstLineChars="200"/>
        <w:jc w:val="both"/>
        <w:rPr>
          <w:rFonts w:hint="eastAsia" w:ascii="宋体" w:hAnsi="宋体" w:eastAsia="宋体" w:cs="宋体"/>
          <w:sz w:val="32"/>
          <w:szCs w:val="32"/>
        </w:rPr>
      </w:pPr>
      <w:r>
        <w:rPr>
          <w:rFonts w:hint="eastAsia" w:ascii="宋体" w:hAnsi="宋体" w:eastAsia="宋体" w:cs="宋体"/>
          <w:sz w:val="32"/>
          <w:szCs w:val="32"/>
        </w:rPr>
        <w:t>一、总体要求：</w:t>
      </w:r>
    </w:p>
    <w:p w14:paraId="59B12054">
      <w:pPr>
        <w:widowControl/>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1、</w:t>
      </w:r>
      <w:r>
        <w:rPr>
          <w:rFonts w:hint="eastAsia" w:ascii="宋体" w:hAnsi="宋体" w:eastAsia="宋体" w:cs="宋体"/>
          <w:sz w:val="32"/>
          <w:szCs w:val="32"/>
          <w:lang w:eastAsia="zh-CN"/>
        </w:rPr>
        <w:t>为了更好的实现医保基金使用规范化，减少医院医保基金使用过程中产生的意外违规行为，通过智慧医保服务平台信息系统对院内各场景、各阶段医疗收费情况进行标准化、合规化管理，推进医保基金规范制度建设，完善符合国家标准的医保收费精细化管理体系。</w:t>
      </w:r>
    </w:p>
    <w:p w14:paraId="6B2D340F">
      <w:pPr>
        <w:widowControl/>
        <w:ind w:firstLine="640" w:firstLineChars="200"/>
        <w:rPr>
          <w:rFonts w:hint="eastAsia" w:ascii="宋体" w:hAnsi="宋体" w:eastAsia="宋体" w:cs="宋体"/>
          <w:sz w:val="32"/>
          <w:szCs w:val="32"/>
          <w:lang w:eastAsia="zh-CN"/>
        </w:rPr>
      </w:pPr>
      <w:r>
        <w:rPr>
          <w:rFonts w:hint="eastAsia" w:ascii="宋体" w:hAnsi="宋体" w:eastAsia="宋体" w:cs="宋体"/>
          <w:smallCaps/>
          <w:sz w:val="32"/>
          <w:szCs w:val="32"/>
          <w:lang w:eastAsia="zh-CN"/>
        </w:rPr>
        <w:t>2、提升用户体验，</w:t>
      </w:r>
      <w:r>
        <w:rPr>
          <w:rFonts w:hint="eastAsia" w:ascii="宋体" w:hAnsi="宋体" w:eastAsia="宋体" w:cs="宋体"/>
          <w:sz w:val="32"/>
          <w:szCs w:val="32"/>
          <w:lang w:eastAsia="zh-CN"/>
        </w:rPr>
        <w:t>与医院现有系统深度融合，统一用户登陆，以用户为中心，以提供良好的用户体验为标准。</w:t>
      </w:r>
    </w:p>
    <w:p w14:paraId="736ED0B0">
      <w:pPr>
        <w:widowControl/>
        <w:ind w:firstLine="640" w:firstLineChars="200"/>
        <w:rPr>
          <w:rFonts w:hint="eastAsia" w:ascii="宋体" w:hAnsi="宋体" w:eastAsia="宋体" w:cs="宋体"/>
          <w:sz w:val="32"/>
          <w:szCs w:val="32"/>
          <w:lang w:eastAsia="zh-CN"/>
        </w:rPr>
      </w:pPr>
      <w:r>
        <w:rPr>
          <w:rFonts w:hint="eastAsia" w:ascii="宋体" w:hAnsi="宋体" w:eastAsia="宋体" w:cs="宋体"/>
          <w:smallCaps/>
          <w:sz w:val="32"/>
          <w:szCs w:val="32"/>
          <w:lang w:eastAsia="zh-CN"/>
        </w:rPr>
        <w:t>3、数据要</w:t>
      </w:r>
      <w:r>
        <w:rPr>
          <w:rFonts w:hint="eastAsia" w:ascii="宋体" w:hAnsi="宋体" w:eastAsia="宋体" w:cs="宋体"/>
          <w:sz w:val="32"/>
          <w:szCs w:val="32"/>
          <w:lang w:eastAsia="zh-CN"/>
        </w:rPr>
        <w:t>求采用</w:t>
      </w:r>
      <w:r>
        <w:rPr>
          <w:rFonts w:hint="eastAsia" w:ascii="宋体" w:hAnsi="宋体" w:eastAsia="宋体" w:cs="宋体"/>
          <w:kern w:val="2"/>
          <w:sz w:val="32"/>
          <w:szCs w:val="32"/>
          <w:lang w:eastAsia="zh-CN"/>
        </w:rPr>
        <w:t>同一数据源，避免多数据源导致数据不一致问题，达到数据的标准化要求。</w:t>
      </w:r>
    </w:p>
    <w:p w14:paraId="6F540DED">
      <w:pPr>
        <w:widowControl/>
        <w:ind w:firstLine="640" w:firstLineChars="200"/>
        <w:rPr>
          <w:rFonts w:hint="eastAsia" w:ascii="宋体" w:hAnsi="宋体" w:eastAsia="宋体" w:cs="宋体"/>
          <w:sz w:val="32"/>
          <w:szCs w:val="32"/>
          <w:lang w:eastAsia="zh-CN"/>
        </w:rPr>
      </w:pPr>
      <w:r>
        <w:rPr>
          <w:rFonts w:hint="eastAsia" w:ascii="宋体" w:hAnsi="宋体" w:eastAsia="宋体" w:cs="宋体"/>
          <w:smallCaps/>
          <w:sz w:val="32"/>
          <w:szCs w:val="32"/>
          <w:lang w:eastAsia="zh-CN"/>
        </w:rPr>
        <w:t>4、信息安全要求</w:t>
      </w:r>
      <w:r>
        <w:rPr>
          <w:rFonts w:hint="eastAsia" w:ascii="宋体" w:hAnsi="宋体" w:eastAsia="宋体" w:cs="宋体"/>
          <w:sz w:val="32"/>
          <w:szCs w:val="32"/>
          <w:lang w:eastAsia="zh-CN"/>
        </w:rPr>
        <w:t>系统及其数据的安全符合国家相关标准规范的要求，支持重要数据保密性功能，功能设计应遵守有关安全制度的管理规定，保证个人隐私等重要数据安全。</w:t>
      </w:r>
    </w:p>
    <w:p w14:paraId="0BB8139D">
      <w:pPr>
        <w:pStyle w:val="2"/>
        <w:rPr>
          <w:rFonts w:hint="eastAsia" w:ascii="宋体" w:hAnsi="宋体" w:eastAsia="宋体" w:cs="宋体"/>
          <w:sz w:val="32"/>
          <w:szCs w:val="32"/>
        </w:rPr>
      </w:pPr>
    </w:p>
    <w:p w14:paraId="76DFF5AE">
      <w:pPr>
        <w:pStyle w:val="2"/>
        <w:rPr>
          <w:rFonts w:hint="eastAsia" w:ascii="宋体" w:hAnsi="宋体" w:eastAsia="宋体" w:cs="宋体"/>
          <w:sz w:val="32"/>
          <w:szCs w:val="32"/>
        </w:rPr>
      </w:pPr>
      <w:r>
        <w:rPr>
          <w:rFonts w:hint="eastAsia" w:ascii="宋体" w:hAnsi="宋体" w:eastAsia="宋体" w:cs="宋体"/>
          <w:sz w:val="32"/>
          <w:szCs w:val="32"/>
        </w:rPr>
        <w:t>二、采购内容：</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520"/>
        <w:gridCol w:w="2979"/>
        <w:gridCol w:w="1291"/>
        <w:gridCol w:w="1291"/>
      </w:tblGrid>
      <w:tr w14:paraId="2B1A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4E7F1F1D">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编号</w:t>
            </w:r>
          </w:p>
        </w:tc>
        <w:tc>
          <w:tcPr>
            <w:tcW w:w="2520" w:type="dxa"/>
            <w:vAlign w:val="center"/>
          </w:tcPr>
          <w:p w14:paraId="6DA1142F">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采购内容</w:t>
            </w:r>
          </w:p>
        </w:tc>
        <w:tc>
          <w:tcPr>
            <w:tcW w:w="2979" w:type="dxa"/>
            <w:vAlign w:val="center"/>
          </w:tcPr>
          <w:p w14:paraId="60543F30">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模块名称</w:t>
            </w:r>
          </w:p>
        </w:tc>
        <w:tc>
          <w:tcPr>
            <w:tcW w:w="1291" w:type="dxa"/>
            <w:vAlign w:val="center"/>
          </w:tcPr>
          <w:p w14:paraId="11E34C6A">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数量</w:t>
            </w:r>
          </w:p>
        </w:tc>
        <w:tc>
          <w:tcPr>
            <w:tcW w:w="1291" w:type="dxa"/>
            <w:vAlign w:val="center"/>
          </w:tcPr>
          <w:p w14:paraId="4D0F183F">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备注</w:t>
            </w:r>
          </w:p>
        </w:tc>
      </w:tr>
      <w:tr w14:paraId="199E1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0899BCEB">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1</w:t>
            </w:r>
          </w:p>
        </w:tc>
        <w:tc>
          <w:tcPr>
            <w:tcW w:w="2520" w:type="dxa"/>
            <w:vMerge w:val="restart"/>
            <w:vAlign w:val="center"/>
          </w:tcPr>
          <w:p w14:paraId="0838A18C">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智慧医保服务平台</w:t>
            </w:r>
          </w:p>
        </w:tc>
        <w:tc>
          <w:tcPr>
            <w:tcW w:w="2979" w:type="dxa"/>
            <w:vAlign w:val="center"/>
          </w:tcPr>
          <w:p w14:paraId="0D785F23">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医保收费智能监管系统</w:t>
            </w:r>
          </w:p>
        </w:tc>
        <w:tc>
          <w:tcPr>
            <w:tcW w:w="1291" w:type="dxa"/>
            <w:vMerge w:val="restart"/>
            <w:vAlign w:val="center"/>
          </w:tcPr>
          <w:p w14:paraId="18235C0C">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1套</w:t>
            </w:r>
          </w:p>
        </w:tc>
        <w:tc>
          <w:tcPr>
            <w:tcW w:w="1291" w:type="dxa"/>
            <w:vMerge w:val="restart"/>
            <w:vAlign w:val="center"/>
          </w:tcPr>
          <w:p w14:paraId="6122CAF0">
            <w:pPr>
              <w:jc w:val="center"/>
              <w:rPr>
                <w:rFonts w:hint="eastAsia" w:ascii="宋体" w:hAnsi="宋体" w:eastAsia="宋体" w:cs="宋体"/>
                <w:sz w:val="32"/>
                <w:szCs w:val="32"/>
              </w:rPr>
            </w:pPr>
          </w:p>
        </w:tc>
      </w:tr>
      <w:tr w14:paraId="7CF58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51FB399E">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2</w:t>
            </w:r>
          </w:p>
        </w:tc>
        <w:tc>
          <w:tcPr>
            <w:tcW w:w="2520" w:type="dxa"/>
            <w:vMerge w:val="continue"/>
            <w:vAlign w:val="center"/>
          </w:tcPr>
          <w:p w14:paraId="744F56DD">
            <w:pPr>
              <w:jc w:val="center"/>
              <w:rPr>
                <w:rFonts w:hint="eastAsia" w:ascii="宋体" w:hAnsi="宋体" w:eastAsia="宋体" w:cs="宋体"/>
                <w:sz w:val="32"/>
                <w:szCs w:val="32"/>
              </w:rPr>
            </w:pPr>
          </w:p>
        </w:tc>
        <w:tc>
          <w:tcPr>
            <w:tcW w:w="2979" w:type="dxa"/>
            <w:vAlign w:val="center"/>
          </w:tcPr>
          <w:p w14:paraId="0E3E8AE7">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医保自查自纠系统</w:t>
            </w:r>
          </w:p>
        </w:tc>
        <w:tc>
          <w:tcPr>
            <w:tcW w:w="1291" w:type="dxa"/>
            <w:vMerge w:val="continue"/>
            <w:vAlign w:val="center"/>
          </w:tcPr>
          <w:p w14:paraId="4EEECE8D">
            <w:pPr>
              <w:jc w:val="center"/>
              <w:rPr>
                <w:rFonts w:hint="eastAsia" w:ascii="宋体" w:hAnsi="宋体" w:eastAsia="宋体" w:cs="宋体"/>
                <w:sz w:val="32"/>
                <w:szCs w:val="32"/>
              </w:rPr>
            </w:pPr>
          </w:p>
        </w:tc>
        <w:tc>
          <w:tcPr>
            <w:tcW w:w="1291" w:type="dxa"/>
            <w:vMerge w:val="continue"/>
            <w:vAlign w:val="center"/>
          </w:tcPr>
          <w:p w14:paraId="584EB001">
            <w:pPr>
              <w:jc w:val="center"/>
              <w:rPr>
                <w:rFonts w:hint="eastAsia" w:ascii="宋体" w:hAnsi="宋体" w:eastAsia="宋体" w:cs="宋体"/>
                <w:sz w:val="32"/>
                <w:szCs w:val="32"/>
              </w:rPr>
            </w:pPr>
          </w:p>
        </w:tc>
      </w:tr>
      <w:tr w14:paraId="47C37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47AD865F">
            <w:pPr>
              <w:jc w:val="center"/>
              <w:rPr>
                <w:rFonts w:hint="eastAsia" w:ascii="宋体" w:hAnsi="宋体" w:eastAsia="宋体" w:cs="宋体"/>
                <w:sz w:val="32"/>
                <w:szCs w:val="32"/>
                <w:lang w:eastAsia="zh-CN"/>
              </w:rPr>
            </w:pPr>
          </w:p>
        </w:tc>
        <w:tc>
          <w:tcPr>
            <w:tcW w:w="2520" w:type="dxa"/>
            <w:vMerge w:val="continue"/>
            <w:vAlign w:val="center"/>
          </w:tcPr>
          <w:p w14:paraId="73F111EF">
            <w:pPr>
              <w:jc w:val="center"/>
              <w:rPr>
                <w:rFonts w:hint="eastAsia" w:ascii="宋体" w:hAnsi="宋体" w:eastAsia="宋体" w:cs="宋体"/>
                <w:sz w:val="32"/>
                <w:szCs w:val="32"/>
              </w:rPr>
            </w:pPr>
          </w:p>
        </w:tc>
        <w:tc>
          <w:tcPr>
            <w:tcW w:w="2979" w:type="dxa"/>
            <w:vAlign w:val="center"/>
          </w:tcPr>
          <w:p w14:paraId="468322C5">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医保结算清单质控系统</w:t>
            </w:r>
          </w:p>
        </w:tc>
        <w:tc>
          <w:tcPr>
            <w:tcW w:w="1291" w:type="dxa"/>
            <w:vMerge w:val="continue"/>
            <w:vAlign w:val="center"/>
          </w:tcPr>
          <w:p w14:paraId="5E33682B">
            <w:pPr>
              <w:jc w:val="center"/>
              <w:rPr>
                <w:rFonts w:hint="eastAsia" w:ascii="宋体" w:hAnsi="宋体" w:eastAsia="宋体" w:cs="宋体"/>
                <w:sz w:val="32"/>
                <w:szCs w:val="32"/>
                <w:lang w:eastAsia="zh-CN"/>
              </w:rPr>
            </w:pPr>
          </w:p>
        </w:tc>
        <w:tc>
          <w:tcPr>
            <w:tcW w:w="1291" w:type="dxa"/>
            <w:vMerge w:val="continue"/>
            <w:vAlign w:val="center"/>
          </w:tcPr>
          <w:p w14:paraId="19CEB071">
            <w:pPr>
              <w:jc w:val="center"/>
              <w:rPr>
                <w:rFonts w:hint="eastAsia" w:ascii="宋体" w:hAnsi="宋体" w:eastAsia="宋体" w:cs="宋体"/>
                <w:sz w:val="32"/>
                <w:szCs w:val="32"/>
                <w:lang w:eastAsia="zh-CN"/>
              </w:rPr>
            </w:pPr>
          </w:p>
        </w:tc>
      </w:tr>
      <w:tr w14:paraId="3D3F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35" w:type="dxa"/>
            <w:vAlign w:val="center"/>
          </w:tcPr>
          <w:p w14:paraId="6CDC3835">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3</w:t>
            </w:r>
          </w:p>
        </w:tc>
        <w:tc>
          <w:tcPr>
            <w:tcW w:w="2520" w:type="dxa"/>
            <w:vMerge w:val="continue"/>
            <w:vAlign w:val="center"/>
          </w:tcPr>
          <w:p w14:paraId="300F1AE6">
            <w:pPr>
              <w:jc w:val="center"/>
              <w:rPr>
                <w:rFonts w:hint="eastAsia" w:ascii="宋体" w:hAnsi="宋体" w:eastAsia="宋体" w:cs="宋体"/>
                <w:sz w:val="32"/>
                <w:szCs w:val="32"/>
              </w:rPr>
            </w:pPr>
          </w:p>
        </w:tc>
        <w:tc>
          <w:tcPr>
            <w:tcW w:w="2979" w:type="dxa"/>
            <w:vAlign w:val="center"/>
          </w:tcPr>
          <w:p w14:paraId="043FD962">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医保DRG智能管控系统</w:t>
            </w:r>
          </w:p>
        </w:tc>
        <w:tc>
          <w:tcPr>
            <w:tcW w:w="1291" w:type="dxa"/>
            <w:vMerge w:val="continue"/>
            <w:vAlign w:val="center"/>
          </w:tcPr>
          <w:p w14:paraId="60F16C2F">
            <w:pPr>
              <w:jc w:val="center"/>
              <w:rPr>
                <w:rFonts w:hint="eastAsia" w:ascii="宋体" w:hAnsi="宋体" w:eastAsia="宋体" w:cs="宋体"/>
                <w:sz w:val="32"/>
                <w:szCs w:val="32"/>
                <w:lang w:eastAsia="zh-CN"/>
              </w:rPr>
            </w:pPr>
          </w:p>
        </w:tc>
        <w:tc>
          <w:tcPr>
            <w:tcW w:w="1291" w:type="dxa"/>
            <w:vMerge w:val="continue"/>
            <w:vAlign w:val="center"/>
          </w:tcPr>
          <w:p w14:paraId="29C44EAA">
            <w:pPr>
              <w:jc w:val="center"/>
              <w:rPr>
                <w:rFonts w:hint="eastAsia" w:ascii="宋体" w:hAnsi="宋体" w:eastAsia="宋体" w:cs="宋体"/>
                <w:sz w:val="32"/>
                <w:szCs w:val="32"/>
                <w:lang w:eastAsia="zh-CN"/>
              </w:rPr>
            </w:pPr>
          </w:p>
        </w:tc>
      </w:tr>
      <w:tr w14:paraId="0823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289A8AC6">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4</w:t>
            </w:r>
          </w:p>
        </w:tc>
        <w:tc>
          <w:tcPr>
            <w:tcW w:w="2520" w:type="dxa"/>
            <w:vMerge w:val="continue"/>
            <w:vAlign w:val="center"/>
          </w:tcPr>
          <w:p w14:paraId="13B3FA6D">
            <w:pPr>
              <w:jc w:val="center"/>
              <w:rPr>
                <w:rFonts w:hint="eastAsia" w:ascii="宋体" w:hAnsi="宋体" w:eastAsia="宋体" w:cs="宋体"/>
                <w:sz w:val="32"/>
                <w:szCs w:val="32"/>
              </w:rPr>
            </w:pPr>
          </w:p>
        </w:tc>
        <w:tc>
          <w:tcPr>
            <w:tcW w:w="2979" w:type="dxa"/>
            <w:vAlign w:val="center"/>
          </w:tcPr>
          <w:p w14:paraId="1EACF55D">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医保辅助管理系统</w:t>
            </w:r>
          </w:p>
        </w:tc>
        <w:tc>
          <w:tcPr>
            <w:tcW w:w="1291" w:type="dxa"/>
            <w:vMerge w:val="continue"/>
            <w:vAlign w:val="center"/>
          </w:tcPr>
          <w:p w14:paraId="50E28F8C">
            <w:pPr>
              <w:jc w:val="center"/>
              <w:rPr>
                <w:rFonts w:hint="eastAsia" w:ascii="宋体" w:hAnsi="宋体" w:eastAsia="宋体" w:cs="宋体"/>
                <w:sz w:val="32"/>
                <w:szCs w:val="32"/>
              </w:rPr>
            </w:pPr>
          </w:p>
        </w:tc>
        <w:tc>
          <w:tcPr>
            <w:tcW w:w="1291" w:type="dxa"/>
            <w:vMerge w:val="continue"/>
            <w:vAlign w:val="center"/>
          </w:tcPr>
          <w:p w14:paraId="7EA526F4">
            <w:pPr>
              <w:jc w:val="center"/>
              <w:rPr>
                <w:rFonts w:hint="eastAsia" w:ascii="宋体" w:hAnsi="宋体" w:eastAsia="宋体" w:cs="宋体"/>
                <w:sz w:val="32"/>
                <w:szCs w:val="32"/>
              </w:rPr>
            </w:pPr>
          </w:p>
        </w:tc>
      </w:tr>
      <w:tr w14:paraId="516A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38D98179">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5</w:t>
            </w:r>
          </w:p>
        </w:tc>
        <w:tc>
          <w:tcPr>
            <w:tcW w:w="2520" w:type="dxa"/>
            <w:vAlign w:val="center"/>
          </w:tcPr>
          <w:p w14:paraId="076B7C01">
            <w:pPr>
              <w:pStyle w:val="19"/>
              <w:widowControl/>
              <w:spacing w:beforeAutospacing="1" w:afterAutospacing="1"/>
              <w:jc w:val="center"/>
              <w:rPr>
                <w:rFonts w:hint="eastAsia" w:ascii="宋体" w:hAnsi="宋体" w:eastAsia="宋体" w:cs="宋体"/>
                <w:sz w:val="32"/>
                <w:szCs w:val="32"/>
              </w:rPr>
            </w:pPr>
            <w:r>
              <w:rPr>
                <w:rFonts w:hint="eastAsia" w:ascii="宋体" w:hAnsi="宋体" w:eastAsia="宋体" w:cs="宋体"/>
                <w:color w:val="000000"/>
                <w:sz w:val="32"/>
                <w:szCs w:val="32"/>
              </w:rPr>
              <w:t>系统接口</w:t>
            </w:r>
          </w:p>
        </w:tc>
        <w:tc>
          <w:tcPr>
            <w:tcW w:w="2979" w:type="dxa"/>
            <w:vAlign w:val="center"/>
          </w:tcPr>
          <w:p w14:paraId="4B6452D4">
            <w:pPr>
              <w:pStyle w:val="19"/>
              <w:widowControl/>
              <w:spacing w:beforeAutospacing="1" w:afterAutospacing="1"/>
              <w:jc w:val="center"/>
              <w:rPr>
                <w:rFonts w:hint="eastAsia" w:ascii="宋体" w:hAnsi="宋体" w:eastAsia="宋体" w:cs="宋体"/>
                <w:sz w:val="32"/>
                <w:szCs w:val="32"/>
                <w:lang w:eastAsia="zh-CN"/>
              </w:rPr>
            </w:pPr>
            <w:r>
              <w:rPr>
                <w:rFonts w:hint="eastAsia" w:ascii="宋体" w:hAnsi="宋体" w:eastAsia="宋体" w:cs="宋体"/>
                <w:color w:val="000000"/>
                <w:sz w:val="32"/>
                <w:szCs w:val="32"/>
              </w:rPr>
              <w:t>系统开发及对接</w:t>
            </w:r>
          </w:p>
        </w:tc>
        <w:tc>
          <w:tcPr>
            <w:tcW w:w="1291" w:type="dxa"/>
            <w:vAlign w:val="center"/>
          </w:tcPr>
          <w:p w14:paraId="4C1E595A">
            <w:pPr>
              <w:pStyle w:val="19"/>
              <w:widowControl/>
              <w:spacing w:beforeAutospacing="1" w:afterAutospacing="1"/>
              <w:jc w:val="center"/>
              <w:rPr>
                <w:rFonts w:hint="eastAsia" w:ascii="宋体" w:hAnsi="宋体" w:eastAsia="宋体" w:cs="宋体"/>
                <w:sz w:val="32"/>
                <w:szCs w:val="32"/>
              </w:rPr>
            </w:pPr>
            <w:r>
              <w:rPr>
                <w:rFonts w:hint="eastAsia" w:ascii="宋体" w:hAnsi="宋体" w:eastAsia="宋体" w:cs="宋体"/>
                <w:color w:val="000000"/>
                <w:sz w:val="32"/>
                <w:szCs w:val="32"/>
                <w:lang w:eastAsia="zh-CN"/>
              </w:rPr>
              <w:t>2</w:t>
            </w:r>
            <w:r>
              <w:rPr>
                <w:rFonts w:hint="eastAsia" w:ascii="宋体" w:hAnsi="宋体" w:eastAsia="宋体" w:cs="宋体"/>
                <w:color w:val="000000"/>
                <w:sz w:val="32"/>
                <w:szCs w:val="32"/>
              </w:rPr>
              <w:t>套</w:t>
            </w:r>
          </w:p>
        </w:tc>
        <w:tc>
          <w:tcPr>
            <w:tcW w:w="1291" w:type="dxa"/>
            <w:vAlign w:val="center"/>
          </w:tcPr>
          <w:p w14:paraId="452E3A3F">
            <w:pPr>
              <w:jc w:val="center"/>
              <w:rPr>
                <w:rFonts w:hint="eastAsia" w:ascii="宋体" w:hAnsi="宋体" w:eastAsia="宋体" w:cs="宋体"/>
                <w:sz w:val="32"/>
                <w:szCs w:val="32"/>
              </w:rPr>
            </w:pPr>
          </w:p>
        </w:tc>
      </w:tr>
      <w:tr w14:paraId="0FDD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vAlign w:val="center"/>
          </w:tcPr>
          <w:p w14:paraId="5A8F399D">
            <w:pPr>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6</w:t>
            </w:r>
          </w:p>
        </w:tc>
        <w:tc>
          <w:tcPr>
            <w:tcW w:w="2520" w:type="dxa"/>
            <w:vAlign w:val="center"/>
          </w:tcPr>
          <w:p w14:paraId="2718B97C">
            <w:pPr>
              <w:pStyle w:val="19"/>
              <w:widowControl/>
              <w:spacing w:beforeAutospacing="1" w:afterAutospacing="1"/>
              <w:jc w:val="center"/>
              <w:rPr>
                <w:rFonts w:hint="eastAsia" w:ascii="宋体" w:hAnsi="宋体" w:eastAsia="宋体" w:cs="宋体"/>
                <w:color w:val="000000"/>
                <w:sz w:val="32"/>
                <w:szCs w:val="32"/>
              </w:rPr>
            </w:pPr>
            <w:r>
              <w:rPr>
                <w:rFonts w:hint="eastAsia" w:ascii="宋体" w:hAnsi="宋体" w:eastAsia="宋体" w:cs="宋体"/>
                <w:color w:val="000000"/>
                <w:sz w:val="32"/>
                <w:szCs w:val="32"/>
              </w:rPr>
              <w:t>硬件</w:t>
            </w:r>
          </w:p>
        </w:tc>
        <w:tc>
          <w:tcPr>
            <w:tcW w:w="2979" w:type="dxa"/>
            <w:vAlign w:val="center"/>
          </w:tcPr>
          <w:p w14:paraId="6AC84A88">
            <w:pPr>
              <w:pStyle w:val="19"/>
              <w:widowControl/>
              <w:spacing w:beforeAutospacing="1" w:afterAutospacing="1"/>
              <w:jc w:val="center"/>
              <w:rPr>
                <w:rFonts w:hint="eastAsia" w:ascii="宋体" w:hAnsi="宋体" w:eastAsia="宋体" w:cs="宋体"/>
                <w:color w:val="000000"/>
                <w:sz w:val="32"/>
                <w:szCs w:val="32"/>
              </w:rPr>
            </w:pPr>
            <w:r>
              <w:rPr>
                <w:rFonts w:hint="eastAsia" w:ascii="宋体" w:hAnsi="宋体" w:eastAsia="宋体" w:cs="宋体"/>
                <w:color w:val="000000"/>
                <w:sz w:val="32"/>
                <w:szCs w:val="32"/>
              </w:rPr>
              <w:t>数据库服务器</w:t>
            </w:r>
          </w:p>
        </w:tc>
        <w:tc>
          <w:tcPr>
            <w:tcW w:w="1291" w:type="dxa"/>
            <w:vAlign w:val="center"/>
          </w:tcPr>
          <w:p w14:paraId="7D9E937D">
            <w:pPr>
              <w:pStyle w:val="19"/>
              <w:widowControl/>
              <w:spacing w:beforeAutospacing="1" w:afterAutospacing="1"/>
              <w:jc w:val="center"/>
              <w:rPr>
                <w:rFonts w:hint="eastAsia" w:ascii="宋体" w:hAnsi="宋体" w:eastAsia="宋体" w:cs="宋体"/>
                <w:color w:val="000000"/>
                <w:sz w:val="32"/>
                <w:szCs w:val="32"/>
                <w:lang w:eastAsia="zh-CN"/>
              </w:rPr>
            </w:pPr>
            <w:r>
              <w:rPr>
                <w:rFonts w:hint="eastAsia" w:ascii="宋体" w:hAnsi="宋体" w:eastAsia="宋体" w:cs="宋体"/>
                <w:color w:val="000000"/>
                <w:sz w:val="32"/>
                <w:szCs w:val="32"/>
                <w:lang w:eastAsia="zh-CN"/>
              </w:rPr>
              <w:t>1套</w:t>
            </w:r>
          </w:p>
        </w:tc>
        <w:tc>
          <w:tcPr>
            <w:tcW w:w="1291" w:type="dxa"/>
            <w:vAlign w:val="center"/>
          </w:tcPr>
          <w:p w14:paraId="5FB5A81E">
            <w:pPr>
              <w:jc w:val="center"/>
              <w:rPr>
                <w:rFonts w:hint="eastAsia" w:ascii="宋体" w:hAnsi="宋体" w:eastAsia="宋体" w:cs="宋体"/>
                <w:sz w:val="32"/>
                <w:szCs w:val="32"/>
              </w:rPr>
            </w:pPr>
          </w:p>
        </w:tc>
      </w:tr>
    </w:tbl>
    <w:p w14:paraId="52DD6A23">
      <w:pPr>
        <w:rPr>
          <w:rFonts w:hint="eastAsia" w:ascii="宋体" w:hAnsi="宋体" w:eastAsia="宋体" w:cs="宋体"/>
          <w:sz w:val="32"/>
          <w:szCs w:val="32"/>
        </w:rPr>
      </w:pPr>
    </w:p>
    <w:p w14:paraId="244B3BD5">
      <w:pPr>
        <w:pStyle w:val="2"/>
        <w:rPr>
          <w:rFonts w:hint="eastAsia" w:ascii="宋体" w:hAnsi="宋体" w:eastAsia="宋体" w:cs="宋体"/>
          <w:sz w:val="32"/>
          <w:szCs w:val="32"/>
        </w:rPr>
      </w:pPr>
      <w:r>
        <w:rPr>
          <w:rFonts w:hint="eastAsia" w:ascii="宋体" w:hAnsi="宋体" w:eastAsia="宋体" w:cs="宋体"/>
          <w:sz w:val="32"/>
          <w:szCs w:val="32"/>
        </w:rPr>
        <w:t>三、软件技术要求</w:t>
      </w:r>
    </w:p>
    <w:p w14:paraId="498675B7">
      <w:pPr>
        <w:pStyle w:val="3"/>
        <w:numPr>
          <w:ilvl w:val="0"/>
          <w:numId w:val="0"/>
        </w:numPr>
        <w:ind w:left="480"/>
        <w:rPr>
          <w:rFonts w:hint="eastAsia" w:ascii="宋体" w:hAnsi="宋体" w:eastAsia="宋体" w:cs="宋体"/>
          <w:sz w:val="32"/>
          <w:szCs w:val="32"/>
        </w:rPr>
      </w:pPr>
      <w:r>
        <w:rPr>
          <w:rFonts w:hint="eastAsia" w:ascii="宋体" w:hAnsi="宋体" w:eastAsia="宋体" w:cs="宋体"/>
          <w:sz w:val="32"/>
          <w:szCs w:val="32"/>
        </w:rPr>
        <w:t>1.建设目标</w:t>
      </w:r>
    </w:p>
    <w:p w14:paraId="0A449872">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根据《关于进一步加强基本医疗服务监管的意见》的文件精神和《国家医疗保障局关于印发DRG/DIP支付方式改革三年行动计划的通知》（医保发〔2021〕48号）文件要求，为不断提高医院的管理质量，加强与医保部门协同化服务、落地医保DRG付费政策以及医疗保障基金医保智能监管相关要求，逐步完成事前提醒、事中控制、事后审查，辅助医院构建病案数据以及结算清单质控、疾病分组辅助分析、医保付费辅助分析、DRG业务分析、医院整体运营决策，提升医保、财务、病案、临床、信息等科室在新支付方式改革下事前、事中、事后协同能力，逐步建立起适应按DRG付费支付方式改革的全院精细化管理体系，提供相对应的技术服务。同时，打通与医保的业务协同渠道，实现医保业务编码管理、结算清单管理、医保结算管理、医保知识库管理等多项医保相关业务协同管理。另一方面，为适应当前医保基金使用监管新要求，加强医院自身在医保层面的监管与审核力度，不断提高监控质量和效率，控制医疗费用不合理增长，使用信息化技术服务的模式，帮助临床医师避免违规接诊、医院管理人员加强对合理控费辅助管理，主要从事前提醒、事中控制和事后分析三个层面介入，有效地规范医师诊疗行为，从医院管理层面提供智能化的信息化管理手段。</w:t>
      </w:r>
    </w:p>
    <w:p w14:paraId="10C3CECA">
      <w:pPr>
        <w:pStyle w:val="3"/>
        <w:numPr>
          <w:ilvl w:val="0"/>
          <w:numId w:val="0"/>
        </w:numPr>
        <w:ind w:left="562"/>
        <w:rPr>
          <w:rFonts w:hint="eastAsia" w:ascii="宋体" w:hAnsi="宋体" w:eastAsia="宋体" w:cs="宋体"/>
          <w:sz w:val="32"/>
          <w:szCs w:val="32"/>
        </w:rPr>
      </w:pPr>
      <w:r>
        <w:rPr>
          <w:rFonts w:hint="eastAsia" w:ascii="宋体" w:hAnsi="宋体" w:eastAsia="宋体" w:cs="宋体"/>
          <w:sz w:val="32"/>
          <w:szCs w:val="32"/>
        </w:rPr>
        <w:t>2.医保收费智能监管系统功能要求</w:t>
      </w:r>
    </w:p>
    <w:p w14:paraId="55AFAADA">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医保收费智能监管系统需综合考虑医保审核和医院临床实际管理要求，实现基于临床实际的医保智能审核监管管理，建设临床合理诊疗和医保审核规则核心知识库，提供知识库管理、智能审核提醒、智能费用审核、智能诊疗监测、智能申诉管理、智能辅助决策等应用。通过全流程审核、全方位监测、多维度分析、智能化服务，实现自我监管业务闭环，提升院内监管能力，规范医疗服务行为，减小医院违规扣款风险，提高医院医保服务能力，提升患者满意度。</w:t>
      </w:r>
    </w:p>
    <w:p w14:paraId="251E0CDE">
      <w:pPr>
        <w:pStyle w:val="5"/>
        <w:numPr>
          <w:ilvl w:val="3"/>
          <w:numId w:val="0"/>
        </w:numPr>
        <w:ind w:firstLine="630" w:firstLineChars="196"/>
        <w:rPr>
          <w:rFonts w:hint="eastAsia" w:ascii="宋体" w:hAnsi="宋体" w:eastAsia="宋体" w:cs="宋体"/>
          <w:sz w:val="32"/>
          <w:szCs w:val="32"/>
        </w:rPr>
      </w:pPr>
      <w:r>
        <w:rPr>
          <w:rFonts w:hint="eastAsia" w:ascii="宋体" w:hAnsi="宋体" w:eastAsia="宋体" w:cs="宋体"/>
          <w:sz w:val="32"/>
          <w:szCs w:val="32"/>
        </w:rPr>
        <w:t>2</w:t>
      </w:r>
      <w:r>
        <w:rPr>
          <w:rFonts w:hint="eastAsia" w:ascii="宋体" w:hAnsi="宋体" w:eastAsia="宋体" w:cs="宋体"/>
          <w:sz w:val="32"/>
          <w:szCs w:val="32"/>
        </w:rPr>
        <w:t>.1</w:t>
      </w:r>
      <w:r>
        <w:rPr>
          <w:rFonts w:hint="eastAsia" w:ascii="宋体" w:hAnsi="宋体" w:eastAsia="宋体" w:cs="宋体"/>
          <w:sz w:val="32"/>
          <w:szCs w:val="32"/>
        </w:rPr>
        <w:t>★知识库管理</w:t>
      </w:r>
    </w:p>
    <w:p w14:paraId="0D2B1E64">
      <w:pPr>
        <w:pStyle w:val="58"/>
        <w:ind w:firstLineChars="200"/>
        <w:rPr>
          <w:rFonts w:hint="eastAsia" w:ascii="宋体" w:hAnsi="宋体" w:eastAsia="宋体" w:cs="宋体"/>
          <w:sz w:val="32"/>
          <w:szCs w:val="32"/>
        </w:rPr>
      </w:pPr>
      <w:r>
        <w:rPr>
          <w:rFonts w:hint="eastAsia" w:ascii="宋体" w:hAnsi="宋体" w:eastAsia="宋体" w:cs="宋体"/>
          <w:sz w:val="32"/>
          <w:szCs w:val="32"/>
        </w:rPr>
        <w:t>系统需覆盖全面的知识库内容，建立临床合理诊疗和医保审核规则核心知识库，具体知识库可扩展。</w:t>
      </w:r>
    </w:p>
    <w:p w14:paraId="5F0A0329">
      <w:pPr>
        <w:pStyle w:val="5"/>
        <w:numPr>
          <w:ilvl w:val="3"/>
          <w:numId w:val="0"/>
        </w:numPr>
        <w:ind w:firstLine="630" w:firstLineChars="196"/>
        <w:rPr>
          <w:rFonts w:hint="eastAsia" w:ascii="宋体" w:hAnsi="宋体" w:eastAsia="宋体" w:cs="宋体"/>
          <w:sz w:val="32"/>
          <w:szCs w:val="32"/>
        </w:rPr>
      </w:pPr>
      <w:r>
        <w:rPr>
          <w:rFonts w:hint="eastAsia" w:ascii="宋体" w:hAnsi="宋体" w:eastAsia="宋体" w:cs="宋体"/>
          <w:sz w:val="32"/>
          <w:szCs w:val="32"/>
        </w:rPr>
        <w:t>2.2</w:t>
      </w:r>
      <w:r>
        <w:rPr>
          <w:rFonts w:hint="eastAsia" w:ascii="宋体" w:hAnsi="宋体" w:eastAsia="宋体" w:cs="宋体"/>
          <w:sz w:val="32"/>
          <w:szCs w:val="32"/>
        </w:rPr>
        <w:t>知识库建立</w:t>
      </w:r>
    </w:p>
    <w:p w14:paraId="238FF39C">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2.2.1</w:t>
      </w:r>
      <w:r>
        <w:rPr>
          <w:rFonts w:hint="eastAsia" w:ascii="宋体" w:hAnsi="宋体" w:eastAsia="宋体" w:cs="宋体"/>
          <w:sz w:val="32"/>
          <w:szCs w:val="32"/>
          <w:lang w:eastAsia="zh-CN"/>
        </w:rPr>
        <w:t>临床合理诊疗知识库</w:t>
      </w:r>
    </w:p>
    <w:p w14:paraId="42121660">
      <w:pPr>
        <w:pStyle w:val="58"/>
        <w:ind w:firstLineChars="200"/>
        <w:jc w:val="both"/>
        <w:rPr>
          <w:rFonts w:hint="eastAsia" w:ascii="宋体" w:hAnsi="宋体" w:eastAsia="宋体" w:cs="宋体"/>
          <w:sz w:val="32"/>
          <w:szCs w:val="32"/>
        </w:rPr>
      </w:pPr>
      <w:r>
        <w:rPr>
          <w:rFonts w:hint="eastAsia" w:ascii="宋体" w:hAnsi="宋体" w:eastAsia="宋体" w:cs="宋体"/>
          <w:sz w:val="32"/>
          <w:szCs w:val="32"/>
        </w:rPr>
        <w:t>基于临床指南、临床路径、药品说明书、医疗耗材注册证、医药标准等权威资料以及一线临床专家经验及共识建立知识库。同时结合卫健、药监、市场监管等部门政策规定和医疗真实性、逻辑性规则等，将相关医疗标准规定的合规类知识纳入知识库。</w:t>
      </w:r>
    </w:p>
    <w:p w14:paraId="60CBCFD1">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2.2.2</w:t>
      </w:r>
      <w:r>
        <w:rPr>
          <w:rFonts w:hint="eastAsia" w:ascii="宋体" w:hAnsi="宋体" w:eastAsia="宋体" w:cs="宋体"/>
          <w:sz w:val="32"/>
          <w:szCs w:val="32"/>
          <w:lang w:eastAsia="zh-CN"/>
        </w:rPr>
        <w:t>医保审核规则知识库</w:t>
      </w:r>
    </w:p>
    <w:p w14:paraId="11A51A16">
      <w:pPr>
        <w:pStyle w:val="58"/>
        <w:ind w:firstLineChars="200"/>
        <w:rPr>
          <w:rFonts w:hint="eastAsia" w:ascii="宋体" w:hAnsi="宋体" w:eastAsia="宋体" w:cs="宋体"/>
          <w:sz w:val="32"/>
          <w:szCs w:val="32"/>
        </w:rPr>
      </w:pPr>
      <w:r>
        <w:rPr>
          <w:rFonts w:hint="eastAsia" w:ascii="宋体" w:hAnsi="宋体" w:eastAsia="宋体" w:cs="宋体"/>
          <w:sz w:val="32"/>
          <w:szCs w:val="32"/>
        </w:rPr>
        <w:t>需配置省市医保审核规则规则库（包含超适应症、药品超适应症、材料与治疗项目不符、项目超频次、项目内涵、药品限制天数、性别限制等项目）。</w:t>
      </w:r>
    </w:p>
    <w:p w14:paraId="31B0001A">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2.2.3</w:t>
      </w:r>
      <w:r>
        <w:rPr>
          <w:rFonts w:hint="eastAsia" w:ascii="宋体" w:hAnsi="宋体" w:eastAsia="宋体" w:cs="宋体"/>
          <w:sz w:val="32"/>
          <w:szCs w:val="32"/>
          <w:lang w:eastAsia="zh-CN"/>
        </w:rPr>
        <w:t>自定义规则库</w:t>
      </w:r>
    </w:p>
    <w:p w14:paraId="468913C1">
      <w:pPr>
        <w:pStyle w:val="58"/>
        <w:ind w:firstLineChars="200"/>
        <w:rPr>
          <w:rFonts w:hint="eastAsia" w:ascii="宋体" w:hAnsi="宋体" w:eastAsia="宋体" w:cs="宋体"/>
          <w:sz w:val="32"/>
          <w:szCs w:val="32"/>
        </w:rPr>
      </w:pPr>
      <w:r>
        <w:rPr>
          <w:rFonts w:hint="eastAsia" w:ascii="宋体" w:hAnsi="宋体" w:eastAsia="宋体" w:cs="宋体"/>
          <w:sz w:val="32"/>
          <w:szCs w:val="32"/>
        </w:rPr>
        <w:t>需支持医院提供医保相关违规规则或院内管理规则，增加和补充规则规则库。</w:t>
      </w:r>
    </w:p>
    <w:p w14:paraId="063A9264">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2.2.</w:t>
      </w:r>
      <w:r>
        <w:rPr>
          <w:rFonts w:hint="eastAsia" w:ascii="宋体" w:hAnsi="宋体" w:eastAsia="宋体" w:cs="宋体"/>
          <w:sz w:val="32"/>
          <w:szCs w:val="32"/>
          <w:lang w:eastAsia="zh-CN"/>
        </w:rPr>
        <w:t>4</w:t>
      </w:r>
      <w:r>
        <w:rPr>
          <w:rFonts w:hint="eastAsia" w:ascii="宋体" w:hAnsi="宋体" w:eastAsia="宋体" w:cs="宋体"/>
          <w:sz w:val="32"/>
          <w:szCs w:val="32"/>
          <w:lang w:eastAsia="zh-CN"/>
        </w:rPr>
        <w:t>知识库维护与规则管理</w:t>
      </w:r>
    </w:p>
    <w:p w14:paraId="25C35B34">
      <w:pPr>
        <w:pStyle w:val="58"/>
        <w:ind w:firstLineChars="200"/>
        <w:rPr>
          <w:rFonts w:hint="eastAsia" w:ascii="宋体" w:hAnsi="宋体" w:eastAsia="宋体" w:cs="宋体"/>
          <w:sz w:val="32"/>
          <w:szCs w:val="32"/>
        </w:rPr>
      </w:pPr>
      <w:r>
        <w:rPr>
          <w:rFonts w:hint="eastAsia" w:ascii="宋体" w:hAnsi="宋体" w:eastAsia="宋体" w:cs="宋体"/>
          <w:sz w:val="32"/>
          <w:szCs w:val="32"/>
        </w:rPr>
        <w:t>系统需要支持数据映射，可对知识库规则进行调整、增加、修改、删除，满足医院自定义需求，包含规则查询、配置、发布和医护引导信息配置等。支持对规则进行管理，不断完善知识库内容，提高系统审核的精准度和覆盖面。通过知识库、规则引擎和规则管理功能，实现全方位的审核场景，在诊疗过程中对标准、规范的数据进行规则审核，在全院数据中精准地发现违规和可疑的单据，从而达到理想的监管效果。</w:t>
      </w:r>
    </w:p>
    <w:p w14:paraId="0BC5B76A">
      <w:pPr>
        <w:pStyle w:val="5"/>
        <w:numPr>
          <w:ilvl w:val="3"/>
          <w:numId w:val="0"/>
        </w:numPr>
        <w:ind w:firstLine="630" w:firstLineChars="196"/>
        <w:rPr>
          <w:rFonts w:hint="eastAsia" w:ascii="宋体" w:hAnsi="宋体" w:eastAsia="宋体" w:cs="宋体"/>
          <w:sz w:val="32"/>
          <w:szCs w:val="32"/>
        </w:rPr>
      </w:pPr>
      <w:r>
        <w:rPr>
          <w:rFonts w:hint="eastAsia" w:ascii="宋体" w:hAnsi="宋体" w:eastAsia="宋体" w:cs="宋体"/>
          <w:sz w:val="32"/>
          <w:szCs w:val="32"/>
        </w:rPr>
        <w:t>2.3</w:t>
      </w:r>
      <w:r>
        <w:rPr>
          <w:rFonts w:hint="eastAsia" w:ascii="宋体" w:hAnsi="宋体" w:eastAsia="宋体" w:cs="宋体"/>
          <w:sz w:val="32"/>
          <w:szCs w:val="32"/>
        </w:rPr>
        <w:t>智能审核</w:t>
      </w:r>
    </w:p>
    <w:p w14:paraId="2E1CD49E">
      <w:pPr>
        <w:pStyle w:val="58"/>
        <w:ind w:firstLineChars="200"/>
        <w:rPr>
          <w:rFonts w:hint="eastAsia" w:ascii="宋体" w:hAnsi="宋体" w:eastAsia="宋体" w:cs="宋体"/>
          <w:sz w:val="32"/>
          <w:szCs w:val="32"/>
        </w:rPr>
      </w:pPr>
      <w:r>
        <w:rPr>
          <w:rFonts w:hint="eastAsia" w:ascii="宋体" w:hAnsi="宋体" w:eastAsia="宋体" w:cs="宋体"/>
          <w:sz w:val="32"/>
          <w:szCs w:val="32"/>
        </w:rPr>
        <w:t>系统需要支持门诊处方、住院医嘱和出院预审等智能审核提醒，实时对医务人员进行信息提醒，方便医务人员直接查看重点数据，帮助医务人员快速进行重点业务管理，提高医务人员工作效率。</w:t>
      </w:r>
    </w:p>
    <w:p w14:paraId="667276DA">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2.3.1</w:t>
      </w:r>
      <w:r>
        <w:rPr>
          <w:rFonts w:hint="eastAsia" w:ascii="宋体" w:hAnsi="宋体" w:eastAsia="宋体" w:cs="宋体"/>
          <w:sz w:val="32"/>
          <w:szCs w:val="32"/>
          <w:lang w:eastAsia="zh-CN"/>
        </w:rPr>
        <w:t>★</w:t>
      </w:r>
      <w:r>
        <w:rPr>
          <w:rFonts w:hint="eastAsia" w:ascii="宋体" w:hAnsi="宋体" w:eastAsia="宋体" w:cs="宋体"/>
          <w:sz w:val="32"/>
          <w:szCs w:val="32"/>
          <w:lang w:eastAsia="zh-CN"/>
        </w:rPr>
        <w:t>事前实时审核监控与费用风险预警</w:t>
      </w:r>
    </w:p>
    <w:p w14:paraId="7A5DBD0F">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在医生通过HIS系统为患者开具处方或开立医嘱时，预警系统调用</w:t>
      </w:r>
      <w:r>
        <w:rPr>
          <w:rFonts w:hint="eastAsia" w:ascii="宋体" w:hAnsi="宋体" w:eastAsia="宋体" w:cs="宋体"/>
          <w:sz w:val="32"/>
          <w:szCs w:val="32"/>
          <w:lang w:eastAsia="zh-CN"/>
        </w:rPr>
        <w:t>临床合理诊疗和医保审核规则</w:t>
      </w:r>
      <w:r>
        <w:rPr>
          <w:rFonts w:hint="eastAsia" w:ascii="宋体" w:hAnsi="宋体" w:eastAsia="宋体" w:cs="宋体"/>
          <w:sz w:val="32"/>
          <w:szCs w:val="32"/>
          <w:lang w:eastAsia="zh-CN"/>
        </w:rPr>
        <w:t>进行实时审核监控和及时预警，避免违规行为的发生。同时通过在院病人费用的监控，及时发现费用异常与超支风险。引导医生主动控制费用不合理增长，加强对医务人员医疗行为规范的监督，加强医院内部医保基金使用管理。</w:t>
      </w:r>
    </w:p>
    <w:p w14:paraId="634A3BC5">
      <w:pPr>
        <w:ind w:firstLine="640" w:firstLineChars="200"/>
        <w:rPr>
          <w:rFonts w:hint="eastAsia" w:ascii="宋体" w:hAnsi="宋体" w:eastAsia="宋体" w:cs="宋体"/>
          <w:color w:val="FF0000"/>
          <w:sz w:val="32"/>
          <w:szCs w:val="32"/>
          <w:lang w:eastAsia="zh-CN"/>
        </w:rPr>
      </w:pPr>
    </w:p>
    <w:p w14:paraId="113DBA71">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2.3.2</w:t>
      </w:r>
      <w:r>
        <w:rPr>
          <w:rFonts w:hint="eastAsia" w:ascii="宋体" w:hAnsi="宋体" w:eastAsia="宋体" w:cs="宋体"/>
          <w:sz w:val="32"/>
          <w:szCs w:val="32"/>
          <w:lang w:eastAsia="zh-CN"/>
        </w:rPr>
        <w:t>智能费用审核</w:t>
      </w:r>
    </w:p>
    <w:p w14:paraId="6A7F4781">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系统将智能费用审核模块嵌入到医院门诊、住院业务全流程中，利用核心知识库及规则引擎，结合实际医疗业务流程，能够支持多场景下对患者医嘱、费用进行医保合理性检查。通过控制级别对可疑、违规费用进行预警和控制。</w:t>
      </w:r>
      <w:r>
        <w:rPr>
          <w:rFonts w:hint="eastAsia" w:ascii="宋体" w:hAnsi="宋体" w:eastAsia="宋体" w:cs="宋体"/>
          <w:color w:val="000000" w:themeColor="text1"/>
          <w:sz w:val="32"/>
          <w:szCs w:val="32"/>
          <w:lang w:eastAsia="zh-CN"/>
        </w:rPr>
        <w:t>确保五个一致：收费、诊断、医嘱、病历和报告一致。</w:t>
      </w:r>
      <w:r>
        <w:rPr>
          <w:rFonts w:hint="eastAsia" w:ascii="宋体" w:hAnsi="宋体" w:eastAsia="宋体" w:cs="宋体"/>
          <w:sz w:val="32"/>
          <w:szCs w:val="32"/>
          <w:lang w:eastAsia="zh-CN"/>
        </w:rPr>
        <w:t>通过智能费用审核，对不合规不合理行为进行预警提示，引导医生主动控制费用不合理增长，及时进行调整，实现及时发现费用问题并进行修正。</w:t>
      </w:r>
    </w:p>
    <w:p w14:paraId="5F05EAAC">
      <w:pPr>
        <w:pStyle w:val="6"/>
        <w:numPr>
          <w:ilvl w:val="4"/>
          <w:numId w:val="0"/>
        </w:numPr>
        <w:spacing w:after="120"/>
        <w:ind w:firstLine="643" w:firstLineChars="200"/>
        <w:rPr>
          <w:rFonts w:hint="eastAsia" w:ascii="宋体" w:hAnsi="宋体" w:eastAsia="宋体" w:cs="宋体"/>
          <w:b w:val="0"/>
          <w:sz w:val="32"/>
          <w:szCs w:val="32"/>
          <w:lang w:eastAsia="zh-CN"/>
        </w:rPr>
      </w:pPr>
      <w:r>
        <w:rPr>
          <w:rFonts w:hint="eastAsia" w:ascii="宋体" w:hAnsi="宋体" w:eastAsia="宋体" w:cs="宋体"/>
          <w:sz w:val="32"/>
          <w:szCs w:val="32"/>
          <w:lang w:eastAsia="zh-CN"/>
        </w:rPr>
        <w:t>2.3.</w:t>
      </w:r>
      <w:r>
        <w:rPr>
          <w:rFonts w:hint="eastAsia" w:ascii="宋体" w:hAnsi="宋体" w:eastAsia="宋体" w:cs="宋体"/>
          <w:sz w:val="32"/>
          <w:szCs w:val="32"/>
          <w:lang w:eastAsia="zh-CN"/>
        </w:rPr>
        <w:t>4</w:t>
      </w:r>
      <w:r>
        <w:rPr>
          <w:rFonts w:hint="eastAsia" w:ascii="宋体" w:hAnsi="宋体" w:eastAsia="宋体" w:cs="宋体"/>
          <w:sz w:val="32"/>
          <w:szCs w:val="32"/>
          <w:lang w:eastAsia="zh-CN"/>
        </w:rPr>
        <w:t>智能申诉管理</w:t>
      </w:r>
    </w:p>
    <w:p w14:paraId="18A76340">
      <w:pPr>
        <w:pStyle w:val="9"/>
        <w:numPr>
          <w:ilvl w:val="5"/>
          <w:numId w:val="0"/>
        </w:numPr>
        <w:ind w:firstLine="630" w:firstLineChars="196"/>
        <w:jc w:val="left"/>
        <w:rPr>
          <w:rFonts w:hint="eastAsia" w:ascii="宋体" w:hAnsi="宋体" w:eastAsia="宋体" w:cs="宋体"/>
          <w:sz w:val="32"/>
          <w:szCs w:val="32"/>
        </w:rPr>
      </w:pPr>
      <w:r>
        <w:rPr>
          <w:rFonts w:hint="eastAsia" w:ascii="宋体" w:hAnsi="宋体" w:eastAsia="宋体" w:cs="宋体"/>
          <w:sz w:val="32"/>
          <w:szCs w:val="32"/>
          <w:lang w:val="en-US"/>
        </w:rPr>
        <w:t>2.3.</w:t>
      </w:r>
      <w:r>
        <w:rPr>
          <w:rFonts w:hint="eastAsia" w:ascii="宋体" w:hAnsi="宋体" w:eastAsia="宋体" w:cs="宋体"/>
          <w:sz w:val="32"/>
          <w:szCs w:val="32"/>
          <w:lang w:val="en-US"/>
        </w:rPr>
        <w:t>4</w:t>
      </w:r>
      <w:r>
        <w:rPr>
          <w:rFonts w:hint="eastAsia" w:ascii="宋体" w:hAnsi="宋体" w:eastAsia="宋体" w:cs="宋体"/>
          <w:sz w:val="32"/>
          <w:szCs w:val="32"/>
          <w:lang w:val="en-US"/>
        </w:rPr>
        <w:t>.1</w:t>
      </w:r>
      <w:bookmarkStart w:id="2" w:name="OLE_LINK1"/>
      <w:r>
        <w:rPr>
          <w:rFonts w:hint="eastAsia" w:ascii="宋体" w:hAnsi="宋体" w:eastAsia="宋体" w:cs="宋体"/>
          <w:sz w:val="32"/>
          <w:szCs w:val="32"/>
        </w:rPr>
        <w:t>★</w:t>
      </w:r>
      <w:bookmarkEnd w:id="2"/>
      <w:r>
        <w:rPr>
          <w:rFonts w:hint="eastAsia" w:ascii="宋体" w:hAnsi="宋体" w:eastAsia="宋体" w:cs="宋体"/>
          <w:sz w:val="32"/>
          <w:szCs w:val="32"/>
        </w:rPr>
        <w:t>申诉任务管理</w:t>
      </w:r>
    </w:p>
    <w:p w14:paraId="41F19B18">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系统需支持省、市医保中心智能审核系统推送的初审不合理费用数据导入、申诉材料指引、申诉任务管理、医保拒付管理等功能，对医院申诉业务进行流程化管理。能够将审核明细数据自动匹配不合理项目计价科室后，推送至临床、医技科室。并将科室反馈的有效数据，反馈到医保两定平台。</w:t>
      </w:r>
    </w:p>
    <w:p w14:paraId="6DFBB050">
      <w:pPr>
        <w:pStyle w:val="9"/>
        <w:numPr>
          <w:ilvl w:val="5"/>
          <w:numId w:val="0"/>
        </w:numPr>
        <w:ind w:firstLine="630" w:firstLineChars="196"/>
        <w:jc w:val="left"/>
        <w:rPr>
          <w:rFonts w:hint="eastAsia" w:ascii="宋体" w:hAnsi="宋体" w:eastAsia="宋体" w:cs="宋体"/>
          <w:sz w:val="32"/>
          <w:szCs w:val="32"/>
        </w:rPr>
      </w:pPr>
      <w:r>
        <w:rPr>
          <w:rFonts w:hint="eastAsia" w:ascii="宋体" w:hAnsi="宋体" w:eastAsia="宋体" w:cs="宋体"/>
          <w:sz w:val="32"/>
          <w:szCs w:val="32"/>
          <w:lang w:val="en-US"/>
        </w:rPr>
        <w:t>2.3.</w:t>
      </w:r>
      <w:r>
        <w:rPr>
          <w:rFonts w:hint="eastAsia" w:ascii="宋体" w:hAnsi="宋体" w:eastAsia="宋体" w:cs="宋体"/>
          <w:sz w:val="32"/>
          <w:szCs w:val="32"/>
          <w:lang w:val="en-US"/>
        </w:rPr>
        <w:t>4</w:t>
      </w:r>
      <w:r>
        <w:rPr>
          <w:rFonts w:hint="eastAsia" w:ascii="宋体" w:hAnsi="宋体" w:eastAsia="宋体" w:cs="宋体"/>
          <w:sz w:val="32"/>
          <w:szCs w:val="32"/>
          <w:lang w:val="en-US"/>
        </w:rPr>
        <w:t>.2</w:t>
      </w:r>
      <w:r>
        <w:rPr>
          <w:rFonts w:hint="eastAsia" w:ascii="宋体" w:hAnsi="宋体" w:eastAsia="宋体" w:cs="宋体"/>
          <w:sz w:val="32"/>
          <w:szCs w:val="32"/>
        </w:rPr>
        <w:t>★</w:t>
      </w:r>
      <w:r>
        <w:rPr>
          <w:rFonts w:hint="eastAsia" w:ascii="宋体" w:hAnsi="宋体" w:eastAsia="宋体" w:cs="宋体"/>
          <w:sz w:val="32"/>
          <w:szCs w:val="32"/>
        </w:rPr>
        <w:t>申诉材料管理</w:t>
      </w:r>
    </w:p>
    <w:p w14:paraId="6CCFBDA9">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根据省、市医保中心推送的医保初审疑点数据情况，在临床产生疑似违规项目时，指引科室填写申诉内容及反馈，将申诉材料填写做在前面。医保办可调取和审核申诉材料，并进行处理。</w:t>
      </w:r>
    </w:p>
    <w:p w14:paraId="782ABD79">
      <w:pPr>
        <w:pStyle w:val="9"/>
        <w:numPr>
          <w:ilvl w:val="5"/>
          <w:numId w:val="0"/>
        </w:numPr>
        <w:ind w:firstLine="630" w:firstLineChars="196"/>
        <w:jc w:val="left"/>
        <w:rPr>
          <w:rFonts w:hint="eastAsia" w:ascii="宋体" w:hAnsi="宋体" w:eastAsia="宋体" w:cs="宋体"/>
          <w:sz w:val="32"/>
          <w:szCs w:val="32"/>
        </w:rPr>
      </w:pPr>
      <w:r>
        <w:rPr>
          <w:rFonts w:hint="eastAsia" w:ascii="宋体" w:hAnsi="宋体" w:eastAsia="宋体" w:cs="宋体"/>
          <w:sz w:val="32"/>
          <w:szCs w:val="32"/>
          <w:lang w:val="en-US"/>
        </w:rPr>
        <w:t>2.3.</w:t>
      </w:r>
      <w:r>
        <w:rPr>
          <w:rFonts w:hint="eastAsia" w:ascii="宋体" w:hAnsi="宋体" w:eastAsia="宋体" w:cs="宋体"/>
          <w:sz w:val="32"/>
          <w:szCs w:val="32"/>
          <w:lang w:val="en-US"/>
        </w:rPr>
        <w:t>4</w:t>
      </w:r>
      <w:r>
        <w:rPr>
          <w:rFonts w:hint="eastAsia" w:ascii="宋体" w:hAnsi="宋体" w:eastAsia="宋体" w:cs="宋体"/>
          <w:sz w:val="32"/>
          <w:szCs w:val="32"/>
          <w:lang w:val="en-US"/>
        </w:rPr>
        <w:t>.3</w:t>
      </w:r>
      <w:r>
        <w:rPr>
          <w:rFonts w:hint="eastAsia" w:ascii="宋体" w:hAnsi="宋体" w:eastAsia="宋体" w:cs="宋体"/>
          <w:sz w:val="32"/>
          <w:szCs w:val="32"/>
        </w:rPr>
        <w:t>智能审核结果分析</w:t>
      </w:r>
    </w:p>
    <w:p w14:paraId="3D9EDF63">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系统需支持查看省、市医保中心推送的医保初审疑点数据、终审扣款及医保拒付情况分析，可提供按科室、病区、医疗组、医生个人统计违规次数、违规金额等数据分析，按月生成质量分析报告、提出整改意见建议，医保办可调取和查看并确定后发送至临床、医技科室。</w:t>
      </w:r>
    </w:p>
    <w:p w14:paraId="58620184">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2.3.</w:t>
      </w:r>
      <w:r>
        <w:rPr>
          <w:rFonts w:hint="eastAsia" w:ascii="宋体" w:hAnsi="宋体" w:eastAsia="宋体" w:cs="宋体"/>
          <w:sz w:val="32"/>
          <w:szCs w:val="32"/>
          <w:lang w:eastAsia="zh-CN"/>
        </w:rPr>
        <w:t>5</w:t>
      </w:r>
      <w:r>
        <w:rPr>
          <w:rFonts w:hint="eastAsia" w:ascii="宋体" w:hAnsi="宋体" w:eastAsia="宋体" w:cs="宋体"/>
          <w:sz w:val="32"/>
          <w:szCs w:val="32"/>
          <w:lang w:eastAsia="zh-CN"/>
        </w:rPr>
        <w:t>病历审核管理</w:t>
      </w:r>
    </w:p>
    <w:p w14:paraId="5D610053">
      <w:pPr>
        <w:pStyle w:val="9"/>
        <w:numPr>
          <w:ilvl w:val="5"/>
          <w:numId w:val="0"/>
        </w:numPr>
        <w:ind w:firstLine="630" w:firstLineChars="196"/>
        <w:jc w:val="left"/>
        <w:rPr>
          <w:rFonts w:hint="eastAsia" w:ascii="宋体" w:hAnsi="宋体" w:eastAsia="宋体" w:cs="宋体"/>
          <w:sz w:val="32"/>
          <w:szCs w:val="32"/>
        </w:rPr>
      </w:pPr>
      <w:r>
        <w:rPr>
          <w:rFonts w:hint="eastAsia" w:ascii="宋体" w:hAnsi="宋体" w:eastAsia="宋体" w:cs="宋体"/>
          <w:sz w:val="32"/>
          <w:szCs w:val="32"/>
          <w:lang w:val="en-US"/>
        </w:rPr>
        <w:t>2.3.</w:t>
      </w:r>
      <w:r>
        <w:rPr>
          <w:rFonts w:hint="eastAsia" w:ascii="宋体" w:hAnsi="宋体" w:eastAsia="宋体" w:cs="宋体"/>
          <w:sz w:val="32"/>
          <w:szCs w:val="32"/>
          <w:lang w:val="en-US"/>
        </w:rPr>
        <w:t>5</w:t>
      </w:r>
      <w:r>
        <w:rPr>
          <w:rFonts w:hint="eastAsia" w:ascii="宋体" w:hAnsi="宋体" w:eastAsia="宋体" w:cs="宋体"/>
          <w:sz w:val="32"/>
          <w:szCs w:val="32"/>
          <w:lang w:val="en-US"/>
        </w:rPr>
        <w:t>.1</w:t>
      </w:r>
      <w:r>
        <w:rPr>
          <w:rFonts w:hint="eastAsia" w:ascii="宋体" w:hAnsi="宋体" w:eastAsia="宋体" w:cs="宋体"/>
          <w:sz w:val="32"/>
          <w:szCs w:val="32"/>
        </w:rPr>
        <w:t>审核任务管理</w:t>
      </w:r>
    </w:p>
    <w:p w14:paraId="03E96870">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系统提供病历初审不合理数据导入、终审扣款数据导入、数据分析等功能，对医院病历审核进行流程化管理；能够将明细数据自动匹配不合理项目计价科室后，推送至临床、医技科室。</w:t>
      </w:r>
    </w:p>
    <w:p w14:paraId="09706B4A">
      <w:pPr>
        <w:pStyle w:val="9"/>
        <w:numPr>
          <w:ilvl w:val="5"/>
          <w:numId w:val="0"/>
        </w:numPr>
        <w:ind w:firstLine="630" w:firstLineChars="196"/>
        <w:jc w:val="left"/>
        <w:rPr>
          <w:rFonts w:hint="eastAsia" w:ascii="宋体" w:hAnsi="宋体" w:eastAsia="宋体" w:cs="宋体"/>
          <w:sz w:val="32"/>
          <w:szCs w:val="32"/>
        </w:rPr>
      </w:pPr>
      <w:r>
        <w:rPr>
          <w:rFonts w:hint="eastAsia" w:ascii="宋体" w:hAnsi="宋体" w:eastAsia="宋体" w:cs="宋体"/>
          <w:sz w:val="32"/>
          <w:szCs w:val="32"/>
          <w:lang w:val="en-US"/>
        </w:rPr>
        <w:t>2.3.</w:t>
      </w:r>
      <w:r>
        <w:rPr>
          <w:rFonts w:hint="eastAsia" w:ascii="宋体" w:hAnsi="宋体" w:eastAsia="宋体" w:cs="宋体"/>
          <w:sz w:val="32"/>
          <w:szCs w:val="32"/>
          <w:lang w:val="en-US"/>
        </w:rPr>
        <w:t>5</w:t>
      </w:r>
      <w:r>
        <w:rPr>
          <w:rFonts w:hint="eastAsia" w:ascii="宋体" w:hAnsi="宋体" w:eastAsia="宋体" w:cs="宋体"/>
          <w:sz w:val="32"/>
          <w:szCs w:val="32"/>
          <w:lang w:val="en-US"/>
        </w:rPr>
        <w:t>.2</w:t>
      </w:r>
      <w:r>
        <w:rPr>
          <w:rFonts w:hint="eastAsia" w:ascii="宋体" w:hAnsi="宋体" w:eastAsia="宋体" w:cs="宋体"/>
          <w:sz w:val="32"/>
          <w:szCs w:val="32"/>
        </w:rPr>
        <w:t>病历审核结果分析</w:t>
      </w:r>
    </w:p>
    <w:p w14:paraId="3E91D3D5">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支持查看初审不合理数据、终审扣款及医保拒付情况分析，可提供按科室、病区、医疗组、医生个人统计违规次数、违规金额等数据分析，按月生成质量分析报告、提出整改意见建议，医保办可调取和查看并确定后发送至临床、医技科室。</w:t>
      </w:r>
    </w:p>
    <w:p w14:paraId="7DA480F6">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2.3.</w:t>
      </w:r>
      <w:r>
        <w:rPr>
          <w:rFonts w:hint="eastAsia" w:ascii="宋体" w:hAnsi="宋体" w:eastAsia="宋体" w:cs="宋体"/>
          <w:sz w:val="32"/>
          <w:szCs w:val="32"/>
          <w:lang w:eastAsia="zh-CN"/>
        </w:rPr>
        <w:t>6</w:t>
      </w:r>
      <w:r>
        <w:rPr>
          <w:rFonts w:hint="eastAsia" w:ascii="宋体" w:hAnsi="宋体" w:eastAsia="宋体" w:cs="宋体"/>
          <w:sz w:val="32"/>
          <w:szCs w:val="32"/>
          <w:lang w:eastAsia="zh-CN"/>
        </w:rPr>
        <w:t>智能辅助决策</w:t>
      </w:r>
    </w:p>
    <w:p w14:paraId="729E92C2">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系统需提供各类数据统计分析以支撑院内管理人员辅助决策。通过大数据挖掘、聚类，将事前、事中、事后的审核监测结果统计分析并共享给院内财务、医务、护理、病案、药学和物资设备等管理部门。包含智能审核及病历审核结果查询、预警分析、违规分析、实时监控、审核效果分析、医疗费用结构分析、医保扣款分析等功能。</w:t>
      </w:r>
    </w:p>
    <w:p w14:paraId="3C32BD7C">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2.3.</w:t>
      </w:r>
      <w:r>
        <w:rPr>
          <w:rFonts w:hint="eastAsia" w:ascii="宋体" w:hAnsi="宋体" w:eastAsia="宋体" w:cs="宋体"/>
          <w:sz w:val="32"/>
          <w:szCs w:val="32"/>
          <w:lang w:eastAsia="zh-CN"/>
        </w:rPr>
        <w:t>7</w:t>
      </w:r>
      <w:r>
        <w:rPr>
          <w:rFonts w:hint="eastAsia" w:ascii="宋体" w:hAnsi="宋体" w:eastAsia="宋体" w:cs="宋体"/>
          <w:sz w:val="32"/>
          <w:szCs w:val="32"/>
          <w:lang w:eastAsia="zh-CN"/>
        </w:rPr>
        <w:t>医院医保自查自纠</w:t>
      </w:r>
    </w:p>
    <w:p w14:paraId="5C51E552">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提供自查自纠模块服务，包括规则管理、数据处理、自查管理、数据分析等。</w:t>
      </w:r>
    </w:p>
    <w:p w14:paraId="10ED1E76">
      <w:pPr>
        <w:pStyle w:val="15"/>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系统可根据医保自查自纠相关要求设置检索规则，调取不合理收费数据，高效完成自查自纠工作，形成质控分析报告。</w:t>
      </w:r>
    </w:p>
    <w:p w14:paraId="020A51C6">
      <w:pPr>
        <w:pStyle w:val="9"/>
        <w:numPr>
          <w:ilvl w:val="5"/>
          <w:numId w:val="0"/>
        </w:numPr>
        <w:ind w:firstLine="630" w:firstLineChars="196"/>
        <w:jc w:val="left"/>
        <w:rPr>
          <w:rFonts w:hint="eastAsia" w:ascii="宋体" w:hAnsi="宋体" w:eastAsia="宋体" w:cs="宋体"/>
          <w:sz w:val="32"/>
          <w:szCs w:val="32"/>
        </w:rPr>
      </w:pPr>
      <w:r>
        <w:rPr>
          <w:rFonts w:hint="eastAsia" w:ascii="宋体" w:hAnsi="宋体" w:eastAsia="宋体" w:cs="宋体"/>
          <w:sz w:val="32"/>
          <w:szCs w:val="32"/>
          <w:lang w:val="en-US"/>
        </w:rPr>
        <w:t>2.3.</w:t>
      </w:r>
      <w:r>
        <w:rPr>
          <w:rFonts w:hint="eastAsia" w:ascii="宋体" w:hAnsi="宋体" w:eastAsia="宋体" w:cs="宋体"/>
          <w:sz w:val="32"/>
          <w:szCs w:val="32"/>
          <w:lang w:val="en-US"/>
        </w:rPr>
        <w:t>7</w:t>
      </w:r>
      <w:r>
        <w:rPr>
          <w:rFonts w:hint="eastAsia" w:ascii="宋体" w:hAnsi="宋体" w:eastAsia="宋体" w:cs="宋体"/>
          <w:sz w:val="32"/>
          <w:szCs w:val="32"/>
          <w:lang w:val="en-US"/>
        </w:rPr>
        <w:t>.1</w:t>
      </w:r>
      <w:r>
        <w:rPr>
          <w:rFonts w:hint="eastAsia" w:ascii="宋体" w:hAnsi="宋体" w:eastAsia="宋体" w:cs="宋体"/>
          <w:sz w:val="32"/>
          <w:szCs w:val="32"/>
          <w:lang w:val="en-US"/>
        </w:rPr>
        <w:t>自查自纠</w:t>
      </w:r>
      <w:r>
        <w:rPr>
          <w:rFonts w:hint="eastAsia" w:ascii="宋体" w:hAnsi="宋体" w:eastAsia="宋体" w:cs="宋体"/>
          <w:sz w:val="32"/>
          <w:szCs w:val="32"/>
        </w:rPr>
        <w:t>规则管理</w:t>
      </w:r>
    </w:p>
    <w:p w14:paraId="697B4864">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知识库涵盖重复收费、超标准收费、分解项目收费、虚计收费；分解住院；串换药品、医用耗材、诊疗项目和服务设施；将不属于医疗保障基金支付范围的医药费用纳入医疗保障基金结算；过度医疗、超医保支付限定；进销存管理等违规疑点。支持医院根据院内医疗费用管控需要，定制管控规则，包含规则新增、变更、启停，以及规则的引导信息配置、节点提醒配置等。</w:t>
      </w:r>
    </w:p>
    <w:p w14:paraId="40C0E715">
      <w:pPr>
        <w:pStyle w:val="9"/>
        <w:numPr>
          <w:ilvl w:val="5"/>
          <w:numId w:val="0"/>
        </w:numPr>
        <w:ind w:firstLine="630" w:firstLineChars="196"/>
        <w:jc w:val="left"/>
        <w:rPr>
          <w:rFonts w:hint="eastAsia" w:ascii="宋体" w:hAnsi="宋体" w:eastAsia="宋体" w:cs="宋体"/>
          <w:sz w:val="32"/>
          <w:szCs w:val="32"/>
        </w:rPr>
      </w:pPr>
      <w:r>
        <w:rPr>
          <w:rFonts w:hint="eastAsia" w:ascii="宋体" w:hAnsi="宋体" w:eastAsia="宋体" w:cs="宋体"/>
          <w:sz w:val="32"/>
          <w:szCs w:val="32"/>
          <w:lang w:val="en-US"/>
        </w:rPr>
        <w:t>2.3.</w:t>
      </w:r>
      <w:r>
        <w:rPr>
          <w:rFonts w:hint="eastAsia" w:ascii="宋体" w:hAnsi="宋体" w:eastAsia="宋体" w:cs="宋体"/>
          <w:sz w:val="32"/>
          <w:szCs w:val="32"/>
          <w:lang w:val="en-US"/>
        </w:rPr>
        <w:t>7</w:t>
      </w:r>
      <w:r>
        <w:rPr>
          <w:rFonts w:hint="eastAsia" w:ascii="宋体" w:hAnsi="宋体" w:eastAsia="宋体" w:cs="宋体"/>
          <w:sz w:val="32"/>
          <w:szCs w:val="32"/>
          <w:lang w:val="en-US"/>
        </w:rPr>
        <w:t>.2</w:t>
      </w:r>
      <w:r>
        <w:rPr>
          <w:rFonts w:hint="eastAsia" w:ascii="宋体" w:hAnsi="宋体" w:eastAsia="宋体" w:cs="宋体"/>
          <w:sz w:val="32"/>
          <w:szCs w:val="32"/>
        </w:rPr>
        <w:t>数据处理</w:t>
      </w:r>
    </w:p>
    <w:p w14:paraId="249A78C5">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通过提供标准化数据接口，以导入、视图、集成平台接入等多种数据获取方式从HIS、LIS、电子病历等系统获取数据。对数据完整性、逻辑性等进行校验和清洗。将清洗后的数据调用知识库进行筛查，得到疑点数据。</w:t>
      </w:r>
    </w:p>
    <w:p w14:paraId="3EC62137">
      <w:pPr>
        <w:pStyle w:val="9"/>
        <w:numPr>
          <w:ilvl w:val="5"/>
          <w:numId w:val="0"/>
        </w:numPr>
        <w:ind w:firstLine="630" w:firstLineChars="196"/>
        <w:jc w:val="left"/>
        <w:rPr>
          <w:rFonts w:hint="eastAsia" w:ascii="宋体" w:hAnsi="宋体" w:eastAsia="宋体" w:cs="宋体"/>
          <w:sz w:val="32"/>
          <w:szCs w:val="32"/>
        </w:rPr>
      </w:pPr>
      <w:r>
        <w:rPr>
          <w:rFonts w:hint="eastAsia" w:ascii="宋体" w:hAnsi="宋体" w:eastAsia="宋体" w:cs="宋体"/>
          <w:sz w:val="32"/>
          <w:szCs w:val="32"/>
          <w:lang w:val="en-US"/>
        </w:rPr>
        <w:t>2.3.</w:t>
      </w:r>
      <w:r>
        <w:rPr>
          <w:rFonts w:hint="eastAsia" w:ascii="宋体" w:hAnsi="宋体" w:eastAsia="宋体" w:cs="宋体"/>
          <w:sz w:val="32"/>
          <w:szCs w:val="32"/>
          <w:lang w:val="en-US"/>
        </w:rPr>
        <w:t>7</w:t>
      </w:r>
      <w:r>
        <w:rPr>
          <w:rFonts w:hint="eastAsia" w:ascii="宋体" w:hAnsi="宋体" w:eastAsia="宋体" w:cs="宋体"/>
          <w:sz w:val="32"/>
          <w:szCs w:val="32"/>
          <w:lang w:val="en-US"/>
        </w:rPr>
        <w:t>.3</w:t>
      </w:r>
      <w:r>
        <w:rPr>
          <w:rFonts w:hint="eastAsia" w:ascii="宋体" w:hAnsi="宋体" w:eastAsia="宋体" w:cs="宋体"/>
          <w:sz w:val="32"/>
          <w:szCs w:val="32"/>
        </w:rPr>
        <w:t>医保自查自纠</w:t>
      </w:r>
    </w:p>
    <w:p w14:paraId="02817889">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可提供数据采集接口，从院内信息软件中采集特定时间内特定科室的全量诊疗数据，进行医保规则审核，并提供审核结果。内容包括：重复收费、分解收费、分解住院、过度收费、超量收费、超范围收费等。将筛查得到的疑点数据按类别、科室、病区、医生等不同维度以报表形式体现。</w:t>
      </w:r>
    </w:p>
    <w:p w14:paraId="2FDDD3D1">
      <w:pPr>
        <w:pStyle w:val="9"/>
        <w:numPr>
          <w:ilvl w:val="5"/>
          <w:numId w:val="0"/>
        </w:numPr>
        <w:ind w:firstLine="626" w:firstLineChars="195"/>
        <w:jc w:val="left"/>
        <w:rPr>
          <w:rFonts w:hint="eastAsia" w:ascii="宋体" w:hAnsi="宋体" w:eastAsia="宋体" w:cs="宋体"/>
          <w:sz w:val="32"/>
          <w:szCs w:val="32"/>
        </w:rPr>
      </w:pPr>
      <w:r>
        <w:rPr>
          <w:rFonts w:hint="eastAsia" w:ascii="宋体" w:hAnsi="宋体" w:eastAsia="宋体" w:cs="宋体"/>
          <w:sz w:val="32"/>
          <w:szCs w:val="32"/>
          <w:lang w:val="en-US"/>
        </w:rPr>
        <w:t>2.3.</w:t>
      </w:r>
      <w:r>
        <w:rPr>
          <w:rFonts w:hint="eastAsia" w:ascii="宋体" w:hAnsi="宋体" w:eastAsia="宋体" w:cs="宋体"/>
          <w:sz w:val="32"/>
          <w:szCs w:val="32"/>
          <w:lang w:val="en-US"/>
        </w:rPr>
        <w:t>7</w:t>
      </w:r>
      <w:r>
        <w:rPr>
          <w:rFonts w:hint="eastAsia" w:ascii="宋体" w:hAnsi="宋体" w:eastAsia="宋体" w:cs="宋体"/>
          <w:sz w:val="32"/>
          <w:szCs w:val="32"/>
          <w:lang w:val="en-US"/>
        </w:rPr>
        <w:t>.4</w:t>
      </w:r>
      <w:r>
        <w:rPr>
          <w:rFonts w:hint="eastAsia" w:ascii="宋体" w:hAnsi="宋体" w:eastAsia="宋体" w:cs="宋体"/>
          <w:sz w:val="32"/>
          <w:szCs w:val="32"/>
        </w:rPr>
        <w:t>数据分析</w:t>
      </w:r>
    </w:p>
    <w:p w14:paraId="280FF38F">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用以支撑医保管理人员查询分析疑点数据，并根据各科室反馈意见优化知识库，形成医疗自查自纠“知识”的闭环，支撑系统持续优化。包含违规排名、预警分析、费用分析等功能。</w:t>
      </w:r>
    </w:p>
    <w:p w14:paraId="72F0B554">
      <w:pPr>
        <w:pStyle w:val="5"/>
        <w:numPr>
          <w:ilvl w:val="3"/>
          <w:numId w:val="0"/>
        </w:numPr>
        <w:ind w:firstLine="630" w:firstLineChars="196"/>
        <w:rPr>
          <w:rFonts w:hint="eastAsia" w:ascii="宋体" w:hAnsi="宋体" w:eastAsia="宋体" w:cs="宋体"/>
          <w:sz w:val="32"/>
          <w:szCs w:val="32"/>
        </w:rPr>
      </w:pPr>
      <w:r>
        <w:rPr>
          <w:rFonts w:hint="eastAsia" w:ascii="宋体" w:hAnsi="宋体" w:eastAsia="宋体" w:cs="宋体"/>
          <w:sz w:val="32"/>
          <w:szCs w:val="32"/>
        </w:rPr>
        <w:t>2.4★信创要求</w:t>
      </w:r>
    </w:p>
    <w:p w14:paraId="2392CEDD">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本产品作为本次招标核心产品，投标人需具有相应软件系统产品国产化信创适配能力，需提供相关软件产品信创认证证书：</w:t>
      </w:r>
    </w:p>
    <w:p w14:paraId="12BAD2AC">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1具备达梦数据产品兼容性认证；</w:t>
      </w:r>
    </w:p>
    <w:p w14:paraId="7E0806E9">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2具备麒麟高级桌面操作系统认证；</w:t>
      </w:r>
    </w:p>
    <w:p w14:paraId="49B862FF">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3具备麒麟高级服务器操作系统认证；</w:t>
      </w:r>
    </w:p>
    <w:p w14:paraId="1D210C3B">
      <w:pPr>
        <w:pStyle w:val="3"/>
        <w:numPr>
          <w:ilvl w:val="0"/>
          <w:numId w:val="0"/>
        </w:numPr>
        <w:ind w:left="413"/>
        <w:rPr>
          <w:rFonts w:hint="eastAsia" w:ascii="宋体" w:hAnsi="宋体" w:eastAsia="宋体" w:cs="宋体"/>
          <w:sz w:val="32"/>
          <w:szCs w:val="32"/>
        </w:rPr>
      </w:pPr>
      <w:r>
        <w:rPr>
          <w:rFonts w:hint="eastAsia" w:ascii="宋体" w:hAnsi="宋体" w:eastAsia="宋体" w:cs="宋体"/>
          <w:sz w:val="32"/>
          <w:szCs w:val="32"/>
        </w:rPr>
        <w:t>3. 医保DRG智能管控系统功能要求</w:t>
      </w:r>
    </w:p>
    <w:p w14:paraId="71178835">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医保DRG智能管控系统需围绕医保支付方式改革，紧跟国家和本地医保支付政策，基于国家标准技术规范，开发医院精细化管理平台应用。面向医院管理人员及各业务科室，提供基础数据治理平台、院内精细化管理平台以及相关应用，助力医院建立适应DRG支付方式改革的全院精细化管理体系。</w:t>
      </w:r>
    </w:p>
    <w:p w14:paraId="36FBA154">
      <w:pPr>
        <w:pStyle w:val="5"/>
        <w:numPr>
          <w:ilvl w:val="3"/>
          <w:numId w:val="0"/>
        </w:numPr>
        <w:ind w:firstLine="630" w:firstLineChars="196"/>
        <w:rPr>
          <w:rFonts w:hint="eastAsia" w:ascii="宋体" w:hAnsi="宋体" w:eastAsia="宋体" w:cs="宋体"/>
          <w:sz w:val="32"/>
          <w:szCs w:val="32"/>
        </w:rPr>
      </w:pPr>
      <w:r>
        <w:rPr>
          <w:rFonts w:hint="eastAsia" w:ascii="宋体" w:hAnsi="宋体" w:eastAsia="宋体" w:cs="宋体"/>
          <w:sz w:val="32"/>
          <w:szCs w:val="32"/>
        </w:rPr>
        <w:t>3.1</w:t>
      </w:r>
      <w:r>
        <w:rPr>
          <w:rFonts w:hint="eastAsia" w:ascii="宋体" w:hAnsi="宋体" w:eastAsia="宋体" w:cs="宋体"/>
          <w:sz w:val="32"/>
          <w:szCs w:val="32"/>
        </w:rPr>
        <w:t>DRG分组器</w:t>
      </w:r>
    </w:p>
    <w:p w14:paraId="6FBE1DE3">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与云南省医保DRG分组器版本保持一致，包括DRG组的ICD编码、诊断名称、手术操作名称、结算标准等，根据云南省医保局对DRG分组目录的调整，及时更新DRG分组器。</w:t>
      </w:r>
    </w:p>
    <w:p w14:paraId="1DAF4D1E">
      <w:pPr>
        <w:pStyle w:val="5"/>
        <w:numPr>
          <w:ilvl w:val="3"/>
          <w:numId w:val="0"/>
        </w:numPr>
        <w:ind w:firstLine="626" w:firstLineChars="195"/>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rPr>
        <w:t>2 DRG智能提醒</w:t>
      </w:r>
    </w:p>
    <w:p w14:paraId="6B49ED05">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提供医保DRG审核知识库，支持根据云南省医保政策变化和医院需求，开发和修改提示、查询功能。给出DRGs费用结余预测结果，无法入组调整建议，其他入组编码调整建议，同时命中入组建议。</w:t>
      </w:r>
    </w:p>
    <w:p w14:paraId="7814ABBF">
      <w:pPr>
        <w:pStyle w:val="5"/>
        <w:numPr>
          <w:ilvl w:val="3"/>
          <w:numId w:val="0"/>
        </w:numPr>
        <w:ind w:firstLine="630" w:firstLineChars="196"/>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rPr>
        <w:t>3医保DRG结算数据采集</w:t>
      </w:r>
    </w:p>
    <w:p w14:paraId="7CA30943">
      <w:pPr>
        <w:pStyle w:val="60"/>
        <w:numPr>
          <w:ilvl w:val="0"/>
          <w:numId w:val="0"/>
        </w:numPr>
        <w:spacing w:before="24" w:after="24" w:line="360" w:lineRule="auto"/>
        <w:ind w:firstLine="640" w:firstLineChars="200"/>
        <w:jc w:val="left"/>
        <w:rPr>
          <w:rFonts w:hint="eastAsia" w:ascii="宋体" w:hAnsi="宋体" w:eastAsia="宋体" w:cs="宋体"/>
          <w:sz w:val="32"/>
          <w:szCs w:val="32"/>
        </w:rPr>
      </w:pPr>
      <w:r>
        <w:rPr>
          <w:rFonts w:hint="eastAsia" w:ascii="宋体" w:hAnsi="宋体" w:eastAsia="宋体" w:cs="宋体"/>
          <w:sz w:val="32"/>
          <w:szCs w:val="32"/>
        </w:rPr>
        <w:t>系统需支持以下功能：</w:t>
      </w:r>
    </w:p>
    <w:p w14:paraId="3DC89938">
      <w:pPr>
        <w:pStyle w:val="60"/>
        <w:numPr>
          <w:ilvl w:val="0"/>
          <w:numId w:val="0"/>
        </w:numPr>
        <w:spacing w:before="24" w:after="24" w:line="360" w:lineRule="auto"/>
        <w:ind w:firstLine="640" w:firstLineChars="200"/>
        <w:jc w:val="left"/>
        <w:rPr>
          <w:rFonts w:hint="eastAsia" w:ascii="宋体" w:hAnsi="宋体" w:eastAsia="宋体" w:cs="宋体"/>
          <w:sz w:val="32"/>
          <w:szCs w:val="32"/>
        </w:rPr>
      </w:pPr>
      <w:r>
        <w:rPr>
          <w:rFonts w:hint="eastAsia" w:ascii="宋体" w:hAnsi="宋体" w:eastAsia="宋体" w:cs="宋体"/>
          <w:sz w:val="32"/>
          <w:szCs w:val="32"/>
        </w:rPr>
        <w:t>结算数据导入：支持DRG结算系统数据导入功能。</w:t>
      </w:r>
    </w:p>
    <w:p w14:paraId="1DBEF7AC">
      <w:pPr>
        <w:pStyle w:val="60"/>
        <w:numPr>
          <w:ilvl w:val="0"/>
          <w:numId w:val="0"/>
        </w:numPr>
        <w:spacing w:before="24" w:after="24" w:line="360" w:lineRule="auto"/>
        <w:ind w:firstLine="640" w:firstLineChars="200"/>
        <w:jc w:val="left"/>
        <w:rPr>
          <w:rFonts w:hint="eastAsia" w:ascii="宋体" w:hAnsi="宋体" w:eastAsia="宋体" w:cs="宋体"/>
          <w:sz w:val="32"/>
          <w:szCs w:val="32"/>
        </w:rPr>
      </w:pPr>
      <w:r>
        <w:rPr>
          <w:rFonts w:hint="eastAsia" w:ascii="宋体" w:hAnsi="宋体" w:eastAsia="宋体" w:cs="宋体"/>
          <w:sz w:val="32"/>
          <w:szCs w:val="32"/>
        </w:rPr>
        <w:t>结算数据转码：支持结算数据字典编码转换。</w:t>
      </w:r>
    </w:p>
    <w:p w14:paraId="46448DA0">
      <w:pPr>
        <w:pStyle w:val="60"/>
        <w:numPr>
          <w:ilvl w:val="0"/>
          <w:numId w:val="0"/>
        </w:numPr>
        <w:spacing w:before="24" w:after="24" w:line="360" w:lineRule="auto"/>
        <w:ind w:firstLine="640" w:firstLineChars="200"/>
        <w:jc w:val="left"/>
        <w:rPr>
          <w:rFonts w:hint="eastAsia" w:ascii="宋体" w:hAnsi="宋体" w:eastAsia="宋体" w:cs="宋体"/>
          <w:sz w:val="32"/>
          <w:szCs w:val="32"/>
        </w:rPr>
      </w:pPr>
      <w:r>
        <w:rPr>
          <w:rFonts w:hint="eastAsia" w:ascii="宋体" w:hAnsi="宋体" w:eastAsia="宋体" w:cs="宋体"/>
          <w:sz w:val="32"/>
          <w:szCs w:val="32"/>
        </w:rPr>
        <w:t>结算数据匹配：按照匹配规则自动和首页信息完成匹配，对无法自动匹配的结算数据，系统提供人工干预处理的手段完成首页数据精准匹配。</w:t>
      </w:r>
    </w:p>
    <w:p w14:paraId="7C4FD0EE">
      <w:pPr>
        <w:pStyle w:val="60"/>
        <w:numPr>
          <w:ilvl w:val="0"/>
          <w:numId w:val="0"/>
        </w:numPr>
        <w:spacing w:before="24" w:after="24" w:line="360" w:lineRule="auto"/>
        <w:ind w:firstLine="640" w:firstLineChars="200"/>
        <w:jc w:val="left"/>
        <w:rPr>
          <w:rFonts w:hint="eastAsia" w:ascii="宋体" w:hAnsi="宋体" w:eastAsia="宋体" w:cs="宋体"/>
          <w:sz w:val="32"/>
          <w:szCs w:val="32"/>
        </w:rPr>
      </w:pPr>
      <w:r>
        <w:rPr>
          <w:rFonts w:hint="eastAsia" w:ascii="宋体" w:hAnsi="宋体" w:eastAsia="宋体" w:cs="宋体"/>
          <w:sz w:val="32"/>
          <w:szCs w:val="32"/>
        </w:rPr>
        <w:t>结算数据校验：按医保结算清单上传规则，完成前置审核。</w:t>
      </w:r>
    </w:p>
    <w:p w14:paraId="209803DA">
      <w:pPr>
        <w:pStyle w:val="5"/>
        <w:numPr>
          <w:ilvl w:val="3"/>
          <w:numId w:val="0"/>
        </w:numPr>
        <w:ind w:firstLine="630" w:firstLineChars="196"/>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rPr>
        <w:t>4 医保清单、病案首页数据生成与上传</w:t>
      </w:r>
    </w:p>
    <w:p w14:paraId="19A8B3B7">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3.</w:t>
      </w:r>
      <w:r>
        <w:rPr>
          <w:rFonts w:hint="eastAsia" w:ascii="宋体" w:hAnsi="宋体" w:eastAsia="宋体" w:cs="宋体"/>
          <w:sz w:val="32"/>
          <w:szCs w:val="32"/>
          <w:lang w:eastAsia="zh-CN"/>
        </w:rPr>
        <w:t>4</w:t>
      </w:r>
      <w:r>
        <w:rPr>
          <w:rFonts w:hint="eastAsia" w:ascii="宋体" w:hAnsi="宋体" w:eastAsia="宋体" w:cs="宋体"/>
          <w:sz w:val="32"/>
          <w:szCs w:val="32"/>
          <w:lang w:eastAsia="zh-CN"/>
        </w:rPr>
        <w:t>.1</w:t>
      </w:r>
      <w:r>
        <w:rPr>
          <w:rFonts w:hint="eastAsia" w:ascii="宋体" w:hAnsi="宋体" w:eastAsia="宋体" w:cs="宋体"/>
          <w:sz w:val="32"/>
          <w:szCs w:val="32"/>
          <w:lang w:eastAsia="zh-CN"/>
        </w:rPr>
        <w:t>数据审核</w:t>
      </w:r>
    </w:p>
    <w:p w14:paraId="3885D19B">
      <w:pPr>
        <w:pStyle w:val="15"/>
        <w:autoSpaceDE/>
        <w:autoSpaceDN/>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系统根据采集的医生确认清单数据和结算系统数据，形成规范的医保上报数据，并根据医保审核规则对数据进行完整性、规范性、合理性、编码逻辑性等全面审核，并能提供报错信息统计数据并做分析。</w:t>
      </w:r>
    </w:p>
    <w:p w14:paraId="269A6CAC">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3.4.2</w:t>
      </w:r>
      <w:r>
        <w:rPr>
          <w:rFonts w:hint="eastAsia" w:ascii="宋体" w:hAnsi="宋体" w:eastAsia="宋体" w:cs="宋体"/>
          <w:sz w:val="32"/>
          <w:szCs w:val="32"/>
          <w:lang w:eastAsia="zh-CN"/>
        </w:rPr>
        <w:t>重点问题质控</w:t>
      </w:r>
    </w:p>
    <w:p w14:paraId="66DA517D">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针对与DRGS入组相关及医保结算清单校验规则等政策合规性相关的问题做为重点质控，浏览重点问题病案，支持按科室、规则大类、规则小类、患者信息为条件搜索，质控具体包括：疾病编码问题、手术编码问题、疑似违规问题等</w:t>
      </w:r>
    </w:p>
    <w:p w14:paraId="2FFE6E30">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3.</w:t>
      </w:r>
      <w:r>
        <w:rPr>
          <w:rFonts w:hint="eastAsia" w:ascii="宋体" w:hAnsi="宋体" w:eastAsia="宋体" w:cs="宋体"/>
          <w:sz w:val="32"/>
          <w:szCs w:val="32"/>
          <w:lang w:eastAsia="zh-CN"/>
        </w:rPr>
        <w:t>4</w:t>
      </w:r>
      <w:r>
        <w:rPr>
          <w:rFonts w:hint="eastAsia" w:ascii="宋体" w:hAnsi="宋体" w:eastAsia="宋体" w:cs="宋体"/>
          <w:sz w:val="32"/>
          <w:szCs w:val="32"/>
          <w:lang w:eastAsia="zh-CN"/>
        </w:rPr>
        <w:t>.</w:t>
      </w:r>
      <w:r>
        <w:rPr>
          <w:rFonts w:hint="eastAsia" w:ascii="宋体" w:hAnsi="宋体" w:eastAsia="宋体" w:cs="宋体"/>
          <w:sz w:val="32"/>
          <w:szCs w:val="32"/>
          <w:lang w:eastAsia="zh-CN"/>
        </w:rPr>
        <w:t>3</w:t>
      </w:r>
      <w:r>
        <w:rPr>
          <w:rFonts w:hint="eastAsia" w:ascii="宋体" w:hAnsi="宋体" w:eastAsia="宋体" w:cs="宋体"/>
          <w:sz w:val="32"/>
          <w:szCs w:val="32"/>
          <w:lang w:eastAsia="zh-CN"/>
        </w:rPr>
        <w:t>清单数据修正</w:t>
      </w:r>
    </w:p>
    <w:p w14:paraId="30C0B373">
      <w:pPr>
        <w:pStyle w:val="15"/>
        <w:autoSpaceDE/>
        <w:autoSpaceDN/>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提供审核有误的病历，能提供查看分析和修正功能，可以查看所有数据项信息，提供修正建议；系统可以对单份病案数据进行审核并返回明细审核结果，包括异常审核结果、质控评分及DRG分组等信息。</w:t>
      </w:r>
    </w:p>
    <w:p w14:paraId="4D6A2254">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3.4.</w:t>
      </w:r>
      <w:r>
        <w:rPr>
          <w:rFonts w:hint="eastAsia" w:ascii="宋体" w:hAnsi="宋体" w:eastAsia="宋体" w:cs="宋体"/>
          <w:sz w:val="32"/>
          <w:szCs w:val="32"/>
          <w:lang w:eastAsia="zh-CN"/>
        </w:rPr>
        <w:t>4</w:t>
      </w:r>
      <w:r>
        <w:rPr>
          <w:rFonts w:hint="eastAsia" w:ascii="宋体" w:hAnsi="宋体" w:eastAsia="宋体" w:cs="宋体"/>
          <w:sz w:val="32"/>
          <w:szCs w:val="32"/>
          <w:lang w:eastAsia="zh-CN"/>
        </w:rPr>
        <w:t>上报前病案首页质控</w:t>
      </w:r>
    </w:p>
    <w:p w14:paraId="40F320E0">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系统需内置独立病案首页，支持在系统上进行病案首页修正，通过院内医保DRGs分组器预测分组对病案进行质控：包含常规质控，编码逻辑质控（合并编码，手术主诊断是否一致），医保DRGs分组逻辑（高、低倍率，无法入组）。</w:t>
      </w:r>
    </w:p>
    <w:p w14:paraId="5ED60D5F">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3.</w:t>
      </w:r>
      <w:r>
        <w:rPr>
          <w:rFonts w:hint="eastAsia" w:ascii="宋体" w:hAnsi="宋体" w:eastAsia="宋体" w:cs="宋体"/>
          <w:sz w:val="32"/>
          <w:szCs w:val="32"/>
          <w:lang w:eastAsia="zh-CN"/>
        </w:rPr>
        <w:t>4</w:t>
      </w:r>
      <w:r>
        <w:rPr>
          <w:rFonts w:hint="eastAsia" w:ascii="宋体" w:hAnsi="宋体" w:eastAsia="宋体" w:cs="宋体"/>
          <w:sz w:val="32"/>
          <w:szCs w:val="32"/>
          <w:lang w:eastAsia="zh-CN"/>
        </w:rPr>
        <w:t>.</w:t>
      </w:r>
      <w:r>
        <w:rPr>
          <w:rFonts w:hint="eastAsia" w:ascii="宋体" w:hAnsi="宋体" w:eastAsia="宋体" w:cs="宋体"/>
          <w:sz w:val="32"/>
          <w:szCs w:val="32"/>
          <w:lang w:eastAsia="zh-CN"/>
        </w:rPr>
        <w:t>5</w:t>
      </w:r>
      <w:r>
        <w:rPr>
          <w:rFonts w:hint="eastAsia" w:ascii="宋体" w:hAnsi="宋体" w:eastAsia="宋体" w:cs="宋体"/>
          <w:sz w:val="32"/>
          <w:szCs w:val="32"/>
          <w:lang w:eastAsia="zh-CN"/>
        </w:rPr>
        <w:t>医保清单上传</w:t>
      </w:r>
    </w:p>
    <w:p w14:paraId="2F28800C">
      <w:pPr>
        <w:pStyle w:val="15"/>
        <w:autoSpaceDE/>
        <w:autoSpaceDN/>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审核通过的医保结算清单经过上传通道对接上传，并详细记录上传数据信息；支持异步批量上报，上报结果反馈。</w:t>
      </w:r>
    </w:p>
    <w:p w14:paraId="67589546">
      <w:pPr>
        <w:pStyle w:val="5"/>
        <w:numPr>
          <w:ilvl w:val="3"/>
          <w:numId w:val="0"/>
        </w:numPr>
        <w:ind w:firstLine="630" w:firstLineChars="196"/>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rPr>
        <w:t>5医保结算清单质控</w:t>
      </w:r>
    </w:p>
    <w:p w14:paraId="044952E4">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依据国家和云南省医保局DRG相关文件要求，对医保基金结算清单填写进行质控，辅助医院对医保结算清单进行质量管理工作，按月生成分析报告、提出整改意见建议。</w:t>
      </w:r>
    </w:p>
    <w:p w14:paraId="482E66D4">
      <w:pPr>
        <w:pStyle w:val="15"/>
        <w:autoSpaceDE/>
        <w:autoSpaceDN/>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针对医保结算清单进行完整性和逻辑性校验，针对完整性和逻辑性，从各维度校验医保结算清单的合理性，统计异常问题数量及占比；分析全院异常校验类型排名。</w:t>
      </w:r>
    </w:p>
    <w:p w14:paraId="00372C59">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对医保结算清单进行质控管理，包括：</w:t>
      </w:r>
    </w:p>
    <w:p w14:paraId="55B95F87">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1.编码与费用冲突；</w:t>
      </w:r>
    </w:p>
    <w:p w14:paraId="513FACA7">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2.高编高套；</w:t>
      </w:r>
    </w:p>
    <w:p w14:paraId="773433B6">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3.低编高套；</w:t>
      </w:r>
    </w:p>
    <w:p w14:paraId="3AB1F2A1">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4.虚编高套；</w:t>
      </w:r>
    </w:p>
    <w:p w14:paraId="19419811">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5.入组与费用冲突。等医保结算清单质控规则。</w:t>
      </w:r>
    </w:p>
    <w:p w14:paraId="177A39E3">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6、医保结算清单校验规则</w:t>
      </w:r>
    </w:p>
    <w:p w14:paraId="5DCE0EBF">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7、支持跟随医保局规则进行增减。</w:t>
      </w:r>
    </w:p>
    <w:p w14:paraId="45DA6B2B">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异化行为规则：低标入院、分解住院、住院给药、高套等异化行为规则。</w:t>
      </w:r>
    </w:p>
    <w:p w14:paraId="6AABF9AB">
      <w:pPr>
        <w:pStyle w:val="5"/>
        <w:numPr>
          <w:ilvl w:val="3"/>
          <w:numId w:val="0"/>
        </w:numPr>
        <w:ind w:firstLine="630" w:firstLineChars="196"/>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rPr>
        <w:t>6医保付费预测分析</w:t>
      </w:r>
    </w:p>
    <w:p w14:paraId="34B5377C">
      <w:pPr>
        <w:pStyle w:val="15"/>
        <w:autoSpaceDE/>
        <w:autoSpaceDN/>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根据省、市医保中心提供的医保DRG分组数据和院内的医保结算数据，完成院内医保付费的辅助分析，按月生成分析报告、提出整改意见建议并自动发送至临床、医技科室。</w:t>
      </w:r>
    </w:p>
    <w:p w14:paraId="3FBAF3F4">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3.6.1</w:t>
      </w:r>
      <w:r>
        <w:rPr>
          <w:rFonts w:hint="eastAsia" w:ascii="宋体" w:hAnsi="宋体" w:eastAsia="宋体" w:cs="宋体"/>
          <w:sz w:val="32"/>
          <w:szCs w:val="32"/>
          <w:lang w:eastAsia="zh-CN"/>
        </w:rPr>
        <w:t>DRG总体分析</w:t>
      </w:r>
    </w:p>
    <w:p w14:paraId="24F554D4">
      <w:pPr>
        <w:pStyle w:val="15"/>
        <w:autoSpaceDE/>
        <w:autoSpaceDN/>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显示全院各科室在某个时间范围内（可按月、季度、年份选择）的总病例数、结余金额、差异率以及异常病例分布情况；同时，可直观地查看全院各科室（可按医疗组展开）的结余明细情况，包含次均结余金额、例均住院天数、次均床位费、次均诊查费、次均治疗费、次均护理费、次均手术费、次均检验费、次均药品费、次均材料费、药耗占比等指标值。</w:t>
      </w:r>
    </w:p>
    <w:p w14:paraId="394845F6">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3.6.2</w:t>
      </w:r>
      <w:r>
        <w:rPr>
          <w:rFonts w:hint="eastAsia" w:ascii="宋体" w:hAnsi="宋体" w:eastAsia="宋体" w:cs="宋体"/>
          <w:sz w:val="32"/>
          <w:szCs w:val="32"/>
          <w:lang w:eastAsia="zh-CN"/>
        </w:rPr>
        <w:t xml:space="preserve"> </w:t>
      </w:r>
      <w:r>
        <w:rPr>
          <w:rFonts w:hint="eastAsia" w:ascii="宋体" w:hAnsi="宋体" w:eastAsia="宋体" w:cs="宋体"/>
          <w:sz w:val="32"/>
          <w:szCs w:val="32"/>
          <w:lang w:eastAsia="zh-CN"/>
        </w:rPr>
        <w:t>盈亏分析</w:t>
      </w:r>
    </w:p>
    <w:p w14:paraId="290E9DDE">
      <w:pPr>
        <w:pStyle w:val="15"/>
        <w:autoSpaceDE/>
        <w:autoSpaceDN/>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分别以科室、医疗组、医生和病组为分析维度，对医保付费信息进行统计分析，并按费用和效率指标赋予标签。针对科室、医疗组和医生维度，可细化至对应分析维度可查看该维度下的病组情况、各病组的费用结构情况，以及整体费用结构、例均费用最高的项目排名、病例详情等科室数据；该病组超支科室情况、该病组超支医生情况以及病例详情等病组数据。</w:t>
      </w:r>
    </w:p>
    <w:p w14:paraId="4BF2BE6B">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3.6.3</w:t>
      </w:r>
      <w:r>
        <w:rPr>
          <w:rFonts w:hint="eastAsia" w:ascii="宋体" w:hAnsi="宋体" w:eastAsia="宋体" w:cs="宋体"/>
          <w:sz w:val="32"/>
          <w:szCs w:val="32"/>
          <w:lang w:eastAsia="zh-CN"/>
        </w:rPr>
        <w:t>病组分析</w:t>
      </w:r>
    </w:p>
    <w:p w14:paraId="2A1FFBE6">
      <w:pPr>
        <w:pStyle w:val="15"/>
        <w:autoSpaceDE/>
        <w:autoSpaceDN/>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展示按DRG/ADRG组编码归类的总病例数、总盈亏、例均盈亏；可下钻医疗组，显示该病组下，各医疗组的正常病例、低倍率病例和高倍率病例的费用结余情况。</w:t>
      </w:r>
    </w:p>
    <w:p w14:paraId="0B26932A">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3.6.4</w:t>
      </w:r>
      <w:r>
        <w:rPr>
          <w:rFonts w:hint="eastAsia" w:ascii="宋体" w:hAnsi="宋体" w:eastAsia="宋体" w:cs="宋体"/>
          <w:sz w:val="32"/>
          <w:szCs w:val="32"/>
          <w:lang w:eastAsia="zh-CN"/>
        </w:rPr>
        <w:t>病例分析</w:t>
      </w:r>
    </w:p>
    <w:p w14:paraId="00586374">
      <w:pPr>
        <w:pStyle w:val="15"/>
        <w:autoSpaceDE/>
        <w:autoSpaceDN/>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针对病例盈亏分析，对医保付费病例数据进行统计分析，细化至病例内部可查看该病例费用结构情况、该病例费用最高的项目排名等病例数据。</w:t>
      </w:r>
    </w:p>
    <w:p w14:paraId="66A78E94">
      <w:pPr>
        <w:pStyle w:val="5"/>
        <w:numPr>
          <w:ilvl w:val="3"/>
          <w:numId w:val="0"/>
        </w:numPr>
        <w:ind w:firstLine="630" w:firstLineChars="196"/>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rPr>
        <w:t>7费用分析管理</w:t>
      </w:r>
    </w:p>
    <w:p w14:paraId="31E0E37F">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3.7.1</w:t>
      </w:r>
      <w:r>
        <w:rPr>
          <w:rFonts w:hint="eastAsia" w:ascii="宋体" w:hAnsi="宋体" w:eastAsia="宋体" w:cs="宋体"/>
          <w:sz w:val="32"/>
          <w:szCs w:val="32"/>
          <w:lang w:eastAsia="zh-CN"/>
        </w:rPr>
        <w:t>药品分析</w:t>
      </w:r>
    </w:p>
    <w:p w14:paraId="3B02D51C">
      <w:pPr>
        <w:pStyle w:val="15"/>
        <w:autoSpaceDE/>
        <w:autoSpaceDN/>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医生在授权范围内可查看病历药品使用情况，并与历史同组病人用药进行对比，帮助医生避免不合理用药、不规范用药等问题，控制药品费的不合理支出。</w:t>
      </w:r>
    </w:p>
    <w:p w14:paraId="5B487DFC">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3.7.2</w:t>
      </w:r>
      <w:r>
        <w:rPr>
          <w:rFonts w:hint="eastAsia" w:ascii="宋体" w:hAnsi="宋体" w:eastAsia="宋体" w:cs="宋体"/>
          <w:sz w:val="32"/>
          <w:szCs w:val="32"/>
          <w:lang w:eastAsia="zh-CN"/>
        </w:rPr>
        <w:t>医用耗材费用分析</w:t>
      </w:r>
    </w:p>
    <w:p w14:paraId="4CDC62D4">
      <w:pPr>
        <w:pStyle w:val="15"/>
        <w:autoSpaceDE/>
        <w:autoSpaceDN/>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医生在授权范围内可查看病历医用耗材使用情况，并与历史同组病人医用耗材进行对比，帮助医生避免不合理使用医用耗材、不规范使用医用耗材等问题，控制医用耗材的不合理支出。</w:t>
      </w:r>
    </w:p>
    <w:p w14:paraId="20061290">
      <w:pPr>
        <w:pStyle w:val="5"/>
        <w:numPr>
          <w:ilvl w:val="3"/>
          <w:numId w:val="0"/>
        </w:numPr>
        <w:ind w:firstLine="472" w:firstLineChars="147"/>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rPr>
        <w:t>8 DRG综合能力评价</w:t>
      </w:r>
    </w:p>
    <w:p w14:paraId="6D86C967">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基于DRG业务分析角度，对全院、科室、医疗组、医师收治的病种病组、手术开展、综合能力等进行DRG指标评价分析。</w:t>
      </w:r>
    </w:p>
    <w:p w14:paraId="353DA03C">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3.8.</w:t>
      </w:r>
      <w:r>
        <w:rPr>
          <w:rFonts w:hint="eastAsia" w:ascii="宋体" w:hAnsi="宋体" w:eastAsia="宋体" w:cs="宋体"/>
          <w:sz w:val="32"/>
          <w:szCs w:val="32"/>
          <w:lang w:eastAsia="zh-CN"/>
        </w:rPr>
        <w:t>1</w:t>
      </w:r>
      <w:r>
        <w:rPr>
          <w:rFonts w:hint="eastAsia" w:ascii="宋体" w:hAnsi="宋体" w:eastAsia="宋体" w:cs="宋体"/>
          <w:sz w:val="32"/>
          <w:szCs w:val="32"/>
          <w:lang w:eastAsia="zh-CN"/>
        </w:rPr>
        <w:t>DRG总体指标</w:t>
      </w:r>
    </w:p>
    <w:p w14:paraId="01BC0541">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总体展示全院医疗能力、效率、安全指标；医疗能力的趋势变化情况；以及医院重点关注指标，包括出院人次、入组率、例均费用、平均住院日等。</w:t>
      </w:r>
    </w:p>
    <w:p w14:paraId="3B04BC0C">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3.8.2</w:t>
      </w:r>
      <w:r>
        <w:rPr>
          <w:rFonts w:hint="eastAsia" w:ascii="宋体" w:hAnsi="宋体" w:eastAsia="宋体" w:cs="宋体"/>
          <w:sz w:val="32"/>
          <w:szCs w:val="32"/>
          <w:lang w:eastAsia="zh-CN"/>
        </w:rPr>
        <w:t>病组病种分析</w:t>
      </w:r>
    </w:p>
    <w:p w14:paraId="39B69592">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对医院、科室覆盖的DRG组进行指标分析，如：人数、权重、资源消耗情况等；支持在知识库中查看各疾病包含的主要诊断、主要手术操作、标杆值；支持由病种病组维度细化到单个病例信息。</w:t>
      </w:r>
    </w:p>
    <w:p w14:paraId="50B33AA0">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3.8.3</w:t>
      </w:r>
      <w:r>
        <w:rPr>
          <w:rFonts w:hint="eastAsia" w:ascii="宋体" w:hAnsi="宋体" w:eastAsia="宋体" w:cs="宋体"/>
          <w:sz w:val="32"/>
          <w:szCs w:val="32"/>
          <w:lang w:eastAsia="zh-CN"/>
        </w:rPr>
        <w:t>绩效评价分析</w:t>
      </w:r>
    </w:p>
    <w:p w14:paraId="1861FA35">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以科室、医疗组、医生为对象深入分析，运用DRG质效与风险评价模型，对各评价指标设置权重，综合形成绩效得分；可实现科室、医疗组、医生间的对比；支持灵活关联细化查看各评价对象数据。</w:t>
      </w:r>
    </w:p>
    <w:p w14:paraId="4F11A4B2">
      <w:pPr>
        <w:pStyle w:val="5"/>
        <w:numPr>
          <w:ilvl w:val="3"/>
          <w:numId w:val="0"/>
        </w:numPr>
        <w:ind w:firstLine="630" w:firstLineChars="196"/>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sz w:val="32"/>
          <w:szCs w:val="32"/>
        </w:rPr>
        <w:t>9医保运营决策</w:t>
      </w:r>
    </w:p>
    <w:p w14:paraId="1D1A81BB">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3.9.1</w:t>
      </w:r>
      <w:r>
        <w:rPr>
          <w:rFonts w:hint="eastAsia" w:ascii="宋体" w:hAnsi="宋体" w:eastAsia="宋体" w:cs="宋体"/>
          <w:sz w:val="32"/>
          <w:szCs w:val="32"/>
          <w:lang w:eastAsia="zh-CN"/>
        </w:rPr>
        <w:t>★</w:t>
      </w:r>
      <w:r>
        <w:rPr>
          <w:rFonts w:hint="eastAsia" w:ascii="宋体" w:hAnsi="宋体" w:eastAsia="宋体" w:cs="宋体"/>
          <w:sz w:val="32"/>
          <w:szCs w:val="32"/>
          <w:lang w:eastAsia="zh-CN"/>
        </w:rPr>
        <w:t>运营综合指标</w:t>
      </w:r>
    </w:p>
    <w:p w14:paraId="15140BBB">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可视化展示全院总体运营情况，包括出院人次、DRG组数、总权重、平均权重、时间消耗指数、费用消耗指数和收入情况等，对其趋势进行分析展示，以及分析各科室数据同比、环比变化情况。</w:t>
      </w:r>
    </w:p>
    <w:p w14:paraId="78660FEB">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3.9.2</w:t>
      </w:r>
      <w:r>
        <w:rPr>
          <w:rFonts w:hint="eastAsia" w:ascii="宋体" w:hAnsi="宋体" w:eastAsia="宋体" w:cs="宋体"/>
          <w:sz w:val="32"/>
          <w:szCs w:val="32"/>
          <w:lang w:eastAsia="zh-CN"/>
        </w:rPr>
        <w:t xml:space="preserve"> </w:t>
      </w:r>
      <w:r>
        <w:rPr>
          <w:rFonts w:hint="eastAsia" w:ascii="宋体" w:hAnsi="宋体" w:eastAsia="宋体" w:cs="宋体"/>
          <w:sz w:val="32"/>
          <w:szCs w:val="32"/>
          <w:lang w:eastAsia="zh-CN"/>
        </w:rPr>
        <w:t>科室费用预警</w:t>
      </w:r>
    </w:p>
    <w:p w14:paraId="52CA4DCD">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汇总可视化呈现各科室医保超支结余情况，可查看科室覆盖病种、医生详细情况、病案详细情况，提供不同程度超支结余的监管预警。</w:t>
      </w:r>
    </w:p>
    <w:p w14:paraId="57718291">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3.9.3</w:t>
      </w:r>
      <w:r>
        <w:rPr>
          <w:rFonts w:hint="eastAsia" w:ascii="宋体" w:hAnsi="宋体" w:eastAsia="宋体" w:cs="宋体"/>
          <w:sz w:val="32"/>
          <w:szCs w:val="32"/>
          <w:lang w:eastAsia="zh-CN"/>
        </w:rPr>
        <w:t xml:space="preserve"> </w:t>
      </w:r>
      <w:r>
        <w:rPr>
          <w:rFonts w:hint="eastAsia" w:ascii="宋体" w:hAnsi="宋体" w:eastAsia="宋体" w:cs="宋体"/>
          <w:sz w:val="32"/>
          <w:szCs w:val="32"/>
          <w:lang w:eastAsia="zh-CN"/>
        </w:rPr>
        <w:t>全院异常预警</w:t>
      </w:r>
    </w:p>
    <w:p w14:paraId="59644BD2">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通过设定全院的重点关注指标，展示科室排名结果，支持图表灵活切换。</w:t>
      </w:r>
    </w:p>
    <w:p w14:paraId="132050DB">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3.9.4</w:t>
      </w:r>
      <w:r>
        <w:rPr>
          <w:rFonts w:hint="eastAsia" w:ascii="宋体" w:hAnsi="宋体" w:eastAsia="宋体" w:cs="宋体"/>
          <w:sz w:val="32"/>
          <w:szCs w:val="32"/>
          <w:lang w:eastAsia="zh-CN"/>
        </w:rPr>
        <w:t>数据分析报告</w:t>
      </w:r>
    </w:p>
    <w:p w14:paraId="64A9D070">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依据所选时间范围，系统自动出具DRG数据分析报告，支持在线预览与报告导出功能。</w:t>
      </w:r>
    </w:p>
    <w:p w14:paraId="046DCB19">
      <w:pPr>
        <w:pStyle w:val="5"/>
        <w:numPr>
          <w:ilvl w:val="3"/>
          <w:numId w:val="0"/>
        </w:numPr>
        <w:ind w:firstLine="630" w:firstLineChars="196"/>
        <w:rPr>
          <w:rFonts w:hint="eastAsia" w:ascii="宋体" w:hAnsi="宋体" w:eastAsia="宋体" w:cs="宋体"/>
          <w:sz w:val="32"/>
          <w:szCs w:val="32"/>
        </w:rPr>
      </w:pPr>
      <w:r>
        <w:rPr>
          <w:rFonts w:hint="eastAsia" w:ascii="宋体" w:hAnsi="宋体" w:eastAsia="宋体" w:cs="宋体"/>
          <w:sz w:val="32"/>
          <w:szCs w:val="32"/>
        </w:rPr>
        <w:t>3.10★信创要求</w:t>
      </w:r>
    </w:p>
    <w:p w14:paraId="30E2AE35">
      <w:pPr>
        <w:ind w:firstLine="643" w:firstLineChars="20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本产品作为本次招标核心产品，投标人需具有相应软件系统产品国产化信创适配能力，需提供相关软件产品信创认证证书：</w:t>
      </w:r>
    </w:p>
    <w:p w14:paraId="19E3FFEC">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1具备达梦数据产品兼容性认证；</w:t>
      </w:r>
    </w:p>
    <w:p w14:paraId="5CC972C1">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2具备麒麟高级桌面操作系统认证；</w:t>
      </w:r>
    </w:p>
    <w:p w14:paraId="27C358F2">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3具备麒麟高级服务器操作系统认证；</w:t>
      </w:r>
    </w:p>
    <w:p w14:paraId="0024C4FC">
      <w:pPr>
        <w:pStyle w:val="5"/>
        <w:numPr>
          <w:ilvl w:val="3"/>
          <w:numId w:val="0"/>
        </w:numPr>
        <w:ind w:firstLine="630" w:firstLineChars="196"/>
        <w:rPr>
          <w:rFonts w:hint="eastAsia" w:ascii="宋体" w:hAnsi="宋体" w:eastAsia="宋体" w:cs="宋体"/>
          <w:sz w:val="32"/>
          <w:szCs w:val="32"/>
        </w:rPr>
      </w:pPr>
      <w:r>
        <w:rPr>
          <w:rFonts w:hint="eastAsia" w:ascii="宋体" w:hAnsi="宋体" w:eastAsia="宋体" w:cs="宋体"/>
          <w:sz w:val="32"/>
          <w:szCs w:val="32"/>
        </w:rPr>
        <w:t>3.11医保数据统计分析</w:t>
      </w:r>
    </w:p>
    <w:p w14:paraId="0F1B2FA5">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3.11.1</w:t>
      </w:r>
      <w:r>
        <w:rPr>
          <w:rFonts w:hint="eastAsia" w:ascii="宋体" w:hAnsi="宋体" w:eastAsia="宋体" w:cs="宋体"/>
          <w:sz w:val="32"/>
          <w:szCs w:val="32"/>
          <w:lang w:eastAsia="zh-CN"/>
        </w:rPr>
        <w:t>★</w:t>
      </w:r>
      <w:r>
        <w:rPr>
          <w:rFonts w:hint="eastAsia" w:ascii="宋体" w:hAnsi="宋体" w:eastAsia="宋体" w:cs="宋体"/>
          <w:sz w:val="32"/>
          <w:szCs w:val="32"/>
          <w:lang w:eastAsia="zh-CN"/>
        </w:rPr>
        <w:t>医保数据统计查询</w:t>
      </w:r>
    </w:p>
    <w:p w14:paraId="68FBB83B">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提供医保相关数据的</w:t>
      </w:r>
      <w:bookmarkStart w:id="3" w:name="_Hlk144799385"/>
      <w:r>
        <w:rPr>
          <w:rFonts w:hint="eastAsia" w:ascii="宋体" w:hAnsi="宋体" w:eastAsia="宋体" w:cs="宋体"/>
          <w:sz w:val="32"/>
          <w:szCs w:val="32"/>
          <w:lang w:eastAsia="zh-CN"/>
        </w:rPr>
        <w:t>门诊结算信息查询、出院结算信息查询、在院病人明细查询、费用分类统计等信息查询，住院医疗工作质量统计表、结算情况统计分析表、费用构成情况分析表、病种分类统计分析表、出院病人统计分析表、住院医疗费用统计表</w:t>
      </w:r>
      <w:bookmarkEnd w:id="3"/>
      <w:r>
        <w:rPr>
          <w:rFonts w:hint="eastAsia" w:ascii="宋体" w:hAnsi="宋体" w:eastAsia="宋体" w:cs="宋体"/>
          <w:sz w:val="32"/>
          <w:szCs w:val="32"/>
          <w:lang w:eastAsia="zh-CN"/>
        </w:rPr>
        <w:t>以及患者来源地统计表等统计分析，以满足医院掌握医保业务开展情况及其发展趋势的需求。</w:t>
      </w:r>
    </w:p>
    <w:p w14:paraId="67FDD76B">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3.11.2医保管理指标分析查询</w:t>
      </w:r>
    </w:p>
    <w:p w14:paraId="7D3B2483">
      <w:pPr>
        <w:pStyle w:val="7"/>
        <w:ind w:firstLine="480"/>
        <w:rPr>
          <w:rFonts w:hint="eastAsia" w:ascii="宋体" w:hAnsi="宋体" w:eastAsia="宋体" w:cs="宋体"/>
          <w:sz w:val="32"/>
          <w:szCs w:val="32"/>
          <w:lang w:eastAsia="zh-CN"/>
        </w:rPr>
      </w:pPr>
      <w:r>
        <w:rPr>
          <w:rFonts w:hint="eastAsia" w:ascii="宋体" w:hAnsi="宋体" w:eastAsia="宋体" w:cs="宋体"/>
          <w:sz w:val="32"/>
          <w:szCs w:val="32"/>
          <w:lang w:eastAsia="zh-CN"/>
        </w:rPr>
        <w:t>通过对医保门诊、医保住院、医保病种分析三个维度建模，搭建医保管理指标分析专题，用户可查看对应指标的同环比、趋势、饼图、柱状图等可视化分析，并且针对部分指标能够实现从全院分析到下级科室以及医疗组/医生粒度，完成基于上层条件的层层下钻分析。</w:t>
      </w:r>
      <w:r>
        <w:rPr>
          <w:rFonts w:hint="eastAsia" w:ascii="宋体" w:hAnsi="宋体" w:eastAsia="宋体" w:cs="宋体"/>
          <w:sz w:val="32"/>
          <w:szCs w:val="32"/>
          <w:lang w:eastAsia="zh-CN"/>
        </w:rPr>
        <w:t>支持报表以excel、word和pdf多格式导出。</w:t>
      </w:r>
    </w:p>
    <w:p w14:paraId="5A840D3E">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3.11.3医保门诊分析</w:t>
      </w:r>
    </w:p>
    <w:p w14:paraId="53870332">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主要以饼图、曲线图、趋势图等不同的方式对医保门诊业务进行同环比分析、</w:t>
      </w:r>
      <w:r>
        <w:rPr>
          <w:rFonts w:hint="eastAsia" w:ascii="宋体" w:hAnsi="宋体" w:eastAsia="宋体" w:cs="宋体"/>
          <w:sz w:val="32"/>
          <w:szCs w:val="32"/>
          <w:lang w:eastAsia="zh-CN"/>
        </w:rPr>
        <w:t>目标达成情况、</w:t>
      </w:r>
      <w:r>
        <w:rPr>
          <w:rFonts w:hint="eastAsia" w:ascii="宋体" w:hAnsi="宋体" w:eastAsia="宋体" w:cs="宋体"/>
          <w:sz w:val="32"/>
          <w:szCs w:val="32"/>
          <w:lang w:eastAsia="zh-CN"/>
        </w:rPr>
        <w:t>科室</w:t>
      </w:r>
      <w:r>
        <w:rPr>
          <w:rFonts w:hint="eastAsia" w:ascii="宋体" w:hAnsi="宋体" w:eastAsia="宋体" w:cs="宋体"/>
          <w:sz w:val="32"/>
          <w:szCs w:val="32"/>
          <w:lang w:eastAsia="zh-CN"/>
        </w:rPr>
        <w:t>排行</w:t>
      </w:r>
      <w:r>
        <w:rPr>
          <w:rFonts w:hint="eastAsia" w:ascii="宋体" w:hAnsi="宋体" w:eastAsia="宋体" w:cs="宋体"/>
          <w:sz w:val="32"/>
          <w:szCs w:val="32"/>
          <w:lang w:eastAsia="zh-CN"/>
        </w:rPr>
        <w:t>情况,从工作量、人头比、费用增长率、门诊费用维度分析医保门诊业务开展情况</w:t>
      </w:r>
      <w:r>
        <w:rPr>
          <w:rFonts w:hint="eastAsia" w:ascii="宋体" w:hAnsi="宋体" w:eastAsia="宋体" w:cs="宋体"/>
          <w:sz w:val="32"/>
          <w:szCs w:val="32"/>
          <w:lang w:eastAsia="zh-CN"/>
        </w:rPr>
        <w:t>，</w:t>
      </w:r>
      <w:r>
        <w:rPr>
          <w:rFonts w:hint="eastAsia" w:ascii="宋体" w:hAnsi="宋体" w:eastAsia="宋体" w:cs="宋体"/>
          <w:sz w:val="32"/>
          <w:szCs w:val="32"/>
          <w:lang w:eastAsia="zh-CN"/>
        </w:rPr>
        <w:t>并</w:t>
      </w:r>
      <w:r>
        <w:rPr>
          <w:rFonts w:hint="eastAsia" w:ascii="宋体" w:hAnsi="宋体" w:eastAsia="宋体" w:cs="宋体"/>
          <w:sz w:val="32"/>
          <w:szCs w:val="32"/>
          <w:lang w:eastAsia="zh-CN"/>
        </w:rPr>
        <w:t>实现</w:t>
      </w:r>
      <w:r>
        <w:rPr>
          <w:rFonts w:hint="eastAsia" w:ascii="宋体" w:hAnsi="宋体" w:eastAsia="宋体" w:cs="宋体"/>
          <w:sz w:val="32"/>
          <w:szCs w:val="32"/>
          <w:lang w:eastAsia="zh-CN"/>
        </w:rPr>
        <w:t>关键指标从全院到科室的层级细化分析。</w:t>
      </w:r>
    </w:p>
    <w:p w14:paraId="6BE1FB5F">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3.11.4医保患者住院人次分析</w:t>
      </w:r>
    </w:p>
    <w:p w14:paraId="25E8D0CD">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主要以柱状图、折线图等图表样式展示医保患者住院人次分析，包括医保患者住院人次、本市医保患者住院人次、省内异地医保患者住院人次、省外异地医保患者住院人次占人头比指标分析及同环比分析。支持医保患者住院人次费别分析、月趋势分析和科室排行，并实现关键指标从全院到科室的层级细化分析。同时能提供异地医保患者来源地统计分析，并从全院到科室的层级进行图表展示。</w:t>
      </w:r>
    </w:p>
    <w:p w14:paraId="1767B3ED">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3.11.5指令性任务统计分析</w:t>
      </w:r>
    </w:p>
    <w:p w14:paraId="577797F3">
      <w:pPr>
        <w:ind w:firstLine="640" w:firstLineChars="200"/>
        <w:rPr>
          <w:rFonts w:hint="eastAsia" w:ascii="宋体" w:hAnsi="宋体" w:eastAsia="宋体" w:cs="宋体"/>
          <w:color w:val="000000" w:themeColor="text1"/>
          <w:sz w:val="32"/>
          <w:szCs w:val="32"/>
          <w:lang w:eastAsia="zh-CN"/>
        </w:rPr>
      </w:pPr>
      <w:r>
        <w:rPr>
          <w:rFonts w:hint="eastAsia" w:ascii="宋体" w:hAnsi="宋体" w:eastAsia="宋体" w:cs="宋体"/>
          <w:color w:val="000000" w:themeColor="text1"/>
          <w:sz w:val="32"/>
          <w:szCs w:val="32"/>
          <w:lang w:eastAsia="zh-CN"/>
        </w:rPr>
        <w:t>支持根据国家和云南省医保局各项指令性任务，通过采集院内病历和结算数据，按要求提供数据结果，方便医保办填报。</w:t>
      </w:r>
    </w:p>
    <w:p w14:paraId="7778CC52">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3.11.6项目违规统计与分析</w:t>
      </w:r>
    </w:p>
    <w:p w14:paraId="4E574D88">
      <w:pPr>
        <w:ind w:firstLine="640" w:firstLineChars="200"/>
        <w:rPr>
          <w:rFonts w:hint="eastAsia" w:ascii="宋体" w:hAnsi="宋体" w:eastAsia="宋体" w:cs="宋体"/>
          <w:color w:val="000000" w:themeColor="text1"/>
          <w:sz w:val="32"/>
          <w:szCs w:val="32"/>
          <w:lang w:eastAsia="zh-CN"/>
        </w:rPr>
      </w:pPr>
      <w:r>
        <w:rPr>
          <w:rFonts w:hint="eastAsia" w:ascii="宋体" w:hAnsi="宋体" w:eastAsia="宋体" w:cs="宋体"/>
          <w:color w:val="000000" w:themeColor="text1"/>
          <w:sz w:val="32"/>
          <w:szCs w:val="32"/>
          <w:lang w:eastAsia="zh-CN"/>
        </w:rPr>
        <w:t>需通过违规次数排序，分析全院违规次数较多的收费项目，并展示分析结果。</w:t>
      </w:r>
    </w:p>
    <w:p w14:paraId="63BC3F90">
      <w:pPr>
        <w:pStyle w:val="5"/>
        <w:numPr>
          <w:ilvl w:val="3"/>
          <w:numId w:val="0"/>
        </w:numPr>
        <w:ind w:firstLine="630" w:firstLineChars="196"/>
        <w:rPr>
          <w:rFonts w:hint="eastAsia" w:ascii="宋体" w:hAnsi="宋体" w:eastAsia="宋体" w:cs="宋体"/>
          <w:sz w:val="32"/>
          <w:szCs w:val="32"/>
        </w:rPr>
      </w:pPr>
      <w:r>
        <w:rPr>
          <w:rFonts w:hint="eastAsia" w:ascii="宋体" w:hAnsi="宋体" w:eastAsia="宋体" w:cs="宋体"/>
          <w:sz w:val="32"/>
          <w:szCs w:val="32"/>
        </w:rPr>
        <w:t>3.12医保政策文件和通知管理</w:t>
      </w:r>
    </w:p>
    <w:p w14:paraId="4EDB22AF">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3.12.1医保政策文件</w:t>
      </w:r>
    </w:p>
    <w:p w14:paraId="6E2E5642">
      <w:pPr>
        <w:pStyle w:val="15"/>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系统支持医保办工作人员上传医保政策文件，以PDF格式上传并保存，允许使用科室下载。同时支持医保办自建政策分类模块。</w:t>
      </w:r>
    </w:p>
    <w:p w14:paraId="36202CC0">
      <w:pPr>
        <w:pStyle w:val="6"/>
        <w:numPr>
          <w:ilvl w:val="4"/>
          <w:numId w:val="0"/>
        </w:numPr>
        <w:spacing w:after="120"/>
        <w:ind w:firstLine="643"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3.12.2医保院内通知</w:t>
      </w:r>
    </w:p>
    <w:p w14:paraId="716E6E72">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系统支持医保办工作人员上传各类医保通，以PDF格式上传并保存，并支持发送指定科室，提供电子签收功能，方便使用科室查阅。</w:t>
      </w:r>
    </w:p>
    <w:bookmarkEnd w:id="1"/>
    <w:p w14:paraId="1EF30103">
      <w:pPr>
        <w:ind w:firstLine="643" w:firstLineChars="200"/>
        <w:rPr>
          <w:rFonts w:hint="eastAsia" w:ascii="宋体" w:hAnsi="宋体" w:eastAsia="宋体" w:cs="宋体"/>
          <w:b/>
          <w:sz w:val="32"/>
          <w:szCs w:val="32"/>
          <w:lang w:eastAsia="zh-CN"/>
        </w:rPr>
      </w:pPr>
      <w:r>
        <w:rPr>
          <w:rFonts w:hint="eastAsia" w:ascii="宋体" w:hAnsi="宋体" w:eastAsia="宋体" w:cs="宋体"/>
          <w:b/>
          <w:sz w:val="32"/>
          <w:szCs w:val="32"/>
          <w:lang w:eastAsia="zh-CN"/>
        </w:rPr>
        <w:t>四、服务器技术要求</w:t>
      </w:r>
    </w:p>
    <w:p w14:paraId="04B05017">
      <w:pPr>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 xml:space="preserve">   </w:t>
      </w:r>
      <w:r>
        <w:rPr>
          <w:rFonts w:hint="eastAsia" w:ascii="宋体" w:hAnsi="宋体" w:eastAsia="宋体" w:cs="宋体"/>
          <w:sz w:val="32"/>
          <w:szCs w:val="32"/>
        </w:rPr>
        <w:t>1、机型：服务器≥4U，机架式服务器，标配原厂导轨；</w:t>
      </w:r>
    </w:p>
    <w:p w14:paraId="54375A65">
      <w:pPr>
        <w:ind w:firstLine="640" w:firstLineChars="200"/>
        <w:rPr>
          <w:rFonts w:hint="eastAsia" w:ascii="宋体" w:hAnsi="宋体" w:eastAsia="宋体" w:cs="宋体"/>
          <w:sz w:val="32"/>
          <w:szCs w:val="32"/>
        </w:rPr>
      </w:pPr>
      <w:r>
        <w:rPr>
          <w:rFonts w:hint="eastAsia" w:ascii="宋体" w:hAnsi="宋体" w:eastAsia="宋体" w:cs="宋体"/>
          <w:sz w:val="32"/>
          <w:szCs w:val="32"/>
        </w:rPr>
        <w:t>2、处理器：配置Intel Xeon 3rd SP Gold/Platinum 系列CPU≥4颗，配置Intel Xeon 6348H(2.3GHz/24核/33MB/165W)处理器；4颗CPU支持6 UPI Mesh互联；</w:t>
      </w:r>
    </w:p>
    <w:p w14:paraId="163D1C06">
      <w:pPr>
        <w:ind w:firstLine="640" w:firstLineChars="200"/>
        <w:rPr>
          <w:rFonts w:hint="eastAsia" w:ascii="宋体" w:hAnsi="宋体" w:eastAsia="宋体" w:cs="宋体"/>
          <w:sz w:val="32"/>
          <w:szCs w:val="32"/>
        </w:rPr>
      </w:pPr>
      <w:r>
        <w:rPr>
          <w:rFonts w:hint="eastAsia" w:ascii="宋体" w:hAnsi="宋体" w:eastAsia="宋体" w:cs="宋体"/>
          <w:sz w:val="32"/>
          <w:szCs w:val="32"/>
        </w:rPr>
        <w:t>3、内存：配置≥512GB DDR4 3200内存，本机提供≥48个内存槽位，支持ECC先进内存保护技术及联机备用模式，可配置LRDIMM和UDIMM内存最大支持18TB物理内存，12TB有效内存；</w:t>
      </w:r>
    </w:p>
    <w:p w14:paraId="1C0445DA">
      <w:pPr>
        <w:ind w:firstLine="640" w:firstLineChars="200"/>
        <w:rPr>
          <w:rFonts w:hint="eastAsia" w:ascii="宋体" w:hAnsi="宋体" w:eastAsia="宋体" w:cs="宋体"/>
          <w:sz w:val="32"/>
          <w:szCs w:val="32"/>
        </w:rPr>
      </w:pPr>
      <w:r>
        <w:rPr>
          <w:rFonts w:hint="eastAsia" w:ascii="宋体" w:hAnsi="宋体" w:eastAsia="宋体" w:cs="宋体"/>
          <w:sz w:val="32"/>
          <w:szCs w:val="32"/>
        </w:rPr>
        <w:t>4、硬盘：支持2.5"热插拔 SAS/SATA/SSD/NVMe硬盘，本次配置≥4块1.92TB 6G SSD硬盘，硬盘支持热插拔，配置≥8个2.5寸硬盘槽位，可选≥50块2.5寸热插拔硬盘。</w:t>
      </w:r>
    </w:p>
    <w:p w14:paraId="2520147E">
      <w:pPr>
        <w:ind w:firstLine="640" w:firstLineChars="200"/>
        <w:rPr>
          <w:rFonts w:hint="eastAsia" w:ascii="宋体" w:hAnsi="宋体" w:eastAsia="宋体" w:cs="宋体"/>
          <w:sz w:val="32"/>
          <w:szCs w:val="32"/>
        </w:rPr>
      </w:pPr>
      <w:r>
        <w:rPr>
          <w:rFonts w:hint="eastAsia" w:ascii="宋体" w:hAnsi="宋体" w:eastAsia="宋体" w:cs="宋体"/>
          <w:sz w:val="32"/>
          <w:szCs w:val="32"/>
        </w:rPr>
        <w:t>5、支持双M.2卡配置Raid1，作为操作系统安装盘；支持SD卡做启动盘。</w:t>
      </w:r>
    </w:p>
    <w:p w14:paraId="422ABD63">
      <w:pPr>
        <w:ind w:firstLine="640" w:firstLineChars="200"/>
        <w:rPr>
          <w:rFonts w:hint="eastAsia" w:ascii="宋体" w:hAnsi="宋体" w:eastAsia="宋体" w:cs="宋体"/>
          <w:sz w:val="32"/>
          <w:szCs w:val="32"/>
        </w:rPr>
      </w:pPr>
      <w:r>
        <w:rPr>
          <w:rFonts w:hint="eastAsia" w:ascii="宋体" w:hAnsi="宋体" w:eastAsia="宋体" w:cs="宋体"/>
          <w:sz w:val="32"/>
          <w:szCs w:val="32"/>
        </w:rPr>
        <w:t>6、IO扩展插槽：配置≥6个PCI-e 3.0全高插槽，可扩展至≥18个全高标准PCI-e插槽，外加1个OCP 3.0 PCIe 16x插槽，支持9个企业级单宽GPU，全速PCIe 3.0 16x 插槽。</w:t>
      </w:r>
    </w:p>
    <w:p w14:paraId="7BD0CD77">
      <w:pPr>
        <w:ind w:firstLine="640" w:firstLineChars="200"/>
        <w:rPr>
          <w:rFonts w:hint="eastAsia" w:ascii="宋体" w:hAnsi="宋体" w:eastAsia="宋体" w:cs="宋体"/>
          <w:sz w:val="32"/>
          <w:szCs w:val="32"/>
        </w:rPr>
      </w:pPr>
      <w:r>
        <w:rPr>
          <w:rFonts w:hint="eastAsia" w:ascii="宋体" w:hAnsi="宋体" w:eastAsia="宋体" w:cs="宋体"/>
          <w:sz w:val="32"/>
          <w:szCs w:val="32"/>
        </w:rPr>
        <w:t>7、标配1个网卡OCP 3.0插槽，可选配千兆、万兆或25GE网卡。本次配置≥4个1G-BaseT 多功能以太网接口，配置万兆光网口≥2端口（满配光模块），配置两端口16Gb光纤通道HBA卡≥1张（满配光模块）。</w:t>
      </w:r>
    </w:p>
    <w:p w14:paraId="04044BC1">
      <w:pPr>
        <w:ind w:firstLine="640" w:firstLineChars="200"/>
        <w:rPr>
          <w:rFonts w:hint="eastAsia" w:ascii="宋体" w:hAnsi="宋体" w:eastAsia="宋体" w:cs="宋体"/>
          <w:sz w:val="32"/>
          <w:szCs w:val="32"/>
        </w:rPr>
      </w:pPr>
      <w:r>
        <w:rPr>
          <w:rFonts w:hint="eastAsia" w:ascii="宋体" w:hAnsi="宋体" w:eastAsia="宋体" w:cs="宋体"/>
          <w:sz w:val="32"/>
          <w:szCs w:val="32"/>
        </w:rPr>
        <w:t>8、电源：配置≥4个1200W铂金版热插拔冗余电源；支持4个96%能效比的钛金级电源选件，支持1+1/N+N冗余；支持240VDC，380VDC，48VDC；</w:t>
      </w:r>
    </w:p>
    <w:p w14:paraId="1037E065">
      <w:pPr>
        <w:pStyle w:val="2"/>
        <w:ind w:left="0" w:leftChars="0" w:firstLine="643" w:firstLineChars="200"/>
        <w:rPr>
          <w:rFonts w:hint="eastAsia" w:ascii="宋体" w:hAnsi="宋体" w:eastAsia="宋体" w:cs="宋体"/>
          <w:sz w:val="32"/>
          <w:szCs w:val="32"/>
        </w:rPr>
      </w:pPr>
      <w:bookmarkStart w:id="4" w:name="_Toc529957170"/>
      <w:bookmarkStart w:id="5" w:name="_Toc486584217"/>
      <w:bookmarkStart w:id="6" w:name="_Toc30067642"/>
      <w:bookmarkStart w:id="7" w:name="_Toc389644523"/>
      <w:bookmarkStart w:id="8" w:name="_Toc450064572"/>
      <w:r>
        <w:rPr>
          <w:rFonts w:hint="eastAsia" w:ascii="宋体" w:hAnsi="宋体" w:eastAsia="宋体" w:cs="宋体"/>
          <w:sz w:val="32"/>
          <w:szCs w:val="32"/>
        </w:rPr>
        <w:t>四、采购需求的</w:t>
      </w:r>
      <w:bookmarkStart w:id="9" w:name="_Hlk80018271"/>
      <w:r>
        <w:rPr>
          <w:rFonts w:hint="eastAsia" w:ascii="宋体" w:hAnsi="宋体" w:eastAsia="宋体" w:cs="宋体"/>
          <w:sz w:val="32"/>
          <w:szCs w:val="32"/>
        </w:rPr>
        <w:t>商务</w:t>
      </w:r>
      <w:bookmarkEnd w:id="9"/>
      <w:r>
        <w:rPr>
          <w:rFonts w:hint="eastAsia" w:ascii="宋体" w:hAnsi="宋体" w:eastAsia="宋体" w:cs="宋体"/>
          <w:sz w:val="32"/>
          <w:szCs w:val="32"/>
        </w:rPr>
        <w:t>要求</w:t>
      </w:r>
    </w:p>
    <w:p w14:paraId="4EE6645A">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投标方须按要求开展包括但不限于如下服务内容：</w:t>
      </w:r>
    </w:p>
    <w:p w14:paraId="4BE37BE7">
      <w:pPr>
        <w:pStyle w:val="3"/>
        <w:ind w:firstLine="482"/>
        <w:rPr>
          <w:rFonts w:hint="eastAsia" w:ascii="宋体" w:hAnsi="宋体" w:eastAsia="宋体" w:cs="宋体"/>
          <w:sz w:val="32"/>
          <w:szCs w:val="32"/>
        </w:rPr>
      </w:pPr>
      <w:r>
        <w:rPr>
          <w:rFonts w:hint="eastAsia" w:ascii="宋体" w:hAnsi="宋体" w:eastAsia="宋体" w:cs="宋体"/>
          <w:sz w:val="32"/>
          <w:szCs w:val="32"/>
        </w:rPr>
        <w:t>项目管理要求</w:t>
      </w:r>
    </w:p>
    <w:p w14:paraId="27D568EF">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（一）总体要求</w:t>
      </w:r>
    </w:p>
    <w:p w14:paraId="231A7C4F">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eastAsia="zh-CN"/>
        </w:rPr>
        <w:t>1）投标人应安全、规范、有序地保障项目实施完成，制定项目实施方案，要求包括项目管理、工作进度表、系统开发、系统测试、系统部署、运行维护、培训等。</w:t>
      </w:r>
    </w:p>
    <w:p w14:paraId="09151A2D">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eastAsia="zh-CN"/>
        </w:rPr>
        <w:t>2）按照项目实施方案完成系统开发任务，功能模块符合业务需求。</w:t>
      </w:r>
    </w:p>
    <w:p w14:paraId="22D28D79">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eastAsia="zh-CN"/>
        </w:rPr>
        <w:t>3）系统测试。提供测试计划、准备和执行，要求包括功能测试、性能测试。</w:t>
      </w:r>
    </w:p>
    <w:p w14:paraId="6BA7BFCD">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eastAsia="zh-CN"/>
        </w:rPr>
        <w:t>4）部署实施。协助招标人完成系统部署、试运行、上线运行等工作。</w:t>
      </w:r>
    </w:p>
    <w:p w14:paraId="38452877">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eastAsia="zh-CN"/>
        </w:rPr>
        <w:t>5）提供项目文档。投标人应提供项目实施各阶段过程资料，包括文档和电子文件等形式，所有文档必须是中文。</w:t>
      </w:r>
    </w:p>
    <w:p w14:paraId="5252F523">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eastAsia="zh-CN"/>
        </w:rPr>
        <w:t>8）数据资产归属。本项目建设的系统在运行过程中产生的数据，其使用权和所有权均归采购人所有，投标人在为采购人服务过程中，获取的用户数据，未经采购人许可，不得外传、随意使用、进行交换或者交易。</w:t>
      </w:r>
    </w:p>
    <w:p w14:paraId="0AA7F655">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eastAsia="zh-CN"/>
        </w:rPr>
        <w:t>9）项目实施、运维全过程建立安全至上理念，构建安全制度保障体系和规范。</w:t>
      </w:r>
    </w:p>
    <w:p w14:paraId="598E6365">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（二）组织管理及团队人员要求</w:t>
      </w:r>
    </w:p>
    <w:p w14:paraId="56C000EF">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投标人应充分考虑满足项目的建设要求，提出完整的项目管理方案。</w:t>
      </w:r>
    </w:p>
    <w:p w14:paraId="0B8E10AE">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投标人应为项目建设配置经验丰富且、稳定及技术能力强的专业化团队。人员配置需全面、科学合理、分工明确。应明确各岗位的职责和任职资格。项目经理须专职并全程负责本项目实施。</w:t>
      </w:r>
    </w:p>
    <w:p w14:paraId="61729328">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投标人应书面明确人员配置管理计划，包括组织结构、项目负责人、组成人员的资历信息、项目经验及分工职责。</w:t>
      </w:r>
    </w:p>
    <w:p w14:paraId="2A11612C">
      <w:pPr>
        <w:pStyle w:val="3"/>
        <w:ind w:firstLine="482"/>
        <w:rPr>
          <w:rFonts w:hint="eastAsia" w:ascii="宋体" w:hAnsi="宋体" w:eastAsia="宋体" w:cs="宋体"/>
          <w:sz w:val="32"/>
          <w:szCs w:val="32"/>
        </w:rPr>
      </w:pPr>
      <w:r>
        <w:rPr>
          <w:rFonts w:hint="eastAsia" w:ascii="宋体" w:hAnsi="宋体" w:eastAsia="宋体" w:cs="宋体"/>
          <w:sz w:val="32"/>
          <w:szCs w:val="32"/>
        </w:rPr>
        <w:t>项目计划要求</w:t>
      </w:r>
    </w:p>
    <w:p w14:paraId="4E4E55F8">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合同签订之日起</w:t>
      </w:r>
      <w:r>
        <w:rPr>
          <w:rFonts w:hint="eastAsia" w:ascii="宋体" w:hAnsi="宋体" w:eastAsia="宋体" w:cs="宋体"/>
          <w:sz w:val="32"/>
          <w:szCs w:val="32"/>
          <w:lang w:eastAsia="zh-CN"/>
        </w:rPr>
        <w:t>3</w:t>
      </w:r>
      <w:r>
        <w:rPr>
          <w:rFonts w:hint="eastAsia" w:ascii="宋体" w:hAnsi="宋体" w:eastAsia="宋体" w:cs="宋体"/>
          <w:sz w:val="32"/>
          <w:szCs w:val="32"/>
          <w:lang w:eastAsia="zh-CN"/>
        </w:rPr>
        <w:t>个月内完成项目建设并上线试运行。供应商须制定详细项目实施计划，严格按照用户方的进度要求，保证本项目按期完成。</w:t>
      </w:r>
    </w:p>
    <w:p w14:paraId="5E046E10">
      <w:pPr>
        <w:pStyle w:val="3"/>
        <w:ind w:firstLine="482"/>
        <w:rPr>
          <w:rFonts w:hint="eastAsia" w:ascii="宋体" w:hAnsi="宋体" w:eastAsia="宋体" w:cs="宋体"/>
          <w:sz w:val="32"/>
          <w:szCs w:val="32"/>
        </w:rPr>
      </w:pPr>
      <w:r>
        <w:rPr>
          <w:rFonts w:hint="eastAsia" w:ascii="宋体" w:hAnsi="宋体" w:eastAsia="宋体" w:cs="宋体"/>
          <w:sz w:val="32"/>
          <w:szCs w:val="32"/>
        </w:rPr>
        <w:t>项目质量要求</w:t>
      </w:r>
    </w:p>
    <w:p w14:paraId="7CC6B216">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投标人须充分保障项目质量和信息安全，符合</w:t>
      </w:r>
      <w:r>
        <w:rPr>
          <w:rFonts w:hint="eastAsia" w:ascii="宋体" w:hAnsi="宋体" w:eastAsia="宋体" w:cs="宋体"/>
          <w:sz w:val="32"/>
          <w:szCs w:val="32"/>
          <w:lang w:eastAsia="zh-CN"/>
        </w:rPr>
        <w:t>ISO9001 质量体系要求，提出完整的质量管理方案和软件应用安全方案，在项目建设过程中严格遵循国家、地方和行业标准规范，按质量管理体系规范要求，针对项目实施过程及交付结果进行质量规划、管理、控制。</w:t>
      </w:r>
    </w:p>
    <w:p w14:paraId="7CFC10DF">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投标人须接受采购人的质量监督检查，提供真实有效的相关质量活动记录、证据，无条件接受采购人提出的质量问题整改要求，承担质量责任及因质量问题导致的进度延迟责任。</w:t>
      </w:r>
    </w:p>
    <w:p w14:paraId="1126B3B7">
      <w:pPr>
        <w:pStyle w:val="3"/>
        <w:ind w:firstLine="482"/>
        <w:rPr>
          <w:rFonts w:hint="eastAsia" w:ascii="宋体" w:hAnsi="宋体" w:eastAsia="宋体" w:cs="宋体"/>
          <w:sz w:val="32"/>
          <w:szCs w:val="32"/>
        </w:rPr>
      </w:pPr>
      <w:r>
        <w:rPr>
          <w:rFonts w:hint="eastAsia" w:ascii="宋体" w:hAnsi="宋体" w:eastAsia="宋体" w:cs="宋体"/>
          <w:sz w:val="32"/>
          <w:szCs w:val="32"/>
        </w:rPr>
        <w:t>项目保密要求</w:t>
      </w:r>
    </w:p>
    <w:p w14:paraId="22ED7402">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中标方必须与招标方签订保密协议，中标方(含项目组所有成员)必须对该项目涉及到的内部资料、业务数据和相关信息予以保密，业务数据包括但不限于招标方的经营、治疗、处方等相关医疗数据，并且保证不得透露病人隐私及相关病情的任何事宜，使其免于被窃取或为任何未经授权方获得。</w:t>
      </w:r>
    </w:p>
    <w:p w14:paraId="713BCA7B">
      <w:pPr>
        <w:pStyle w:val="3"/>
        <w:ind w:firstLine="482"/>
        <w:rPr>
          <w:rFonts w:hint="eastAsia" w:ascii="宋体" w:hAnsi="宋体" w:eastAsia="宋体" w:cs="宋体"/>
          <w:sz w:val="32"/>
          <w:szCs w:val="32"/>
        </w:rPr>
      </w:pPr>
      <w:r>
        <w:rPr>
          <w:rFonts w:hint="eastAsia" w:ascii="宋体" w:hAnsi="宋体" w:eastAsia="宋体" w:cs="宋体"/>
          <w:sz w:val="32"/>
          <w:szCs w:val="32"/>
        </w:rPr>
        <w:t>系统性能要求</w:t>
      </w:r>
    </w:p>
    <w:p w14:paraId="1B9909DA">
      <w:pPr>
        <w:pStyle w:val="50"/>
        <w:ind w:firstLine="480"/>
        <w:rPr>
          <w:rFonts w:hint="eastAsia" w:ascii="宋体" w:hAnsi="宋体" w:eastAsia="宋体" w:cs="宋体"/>
          <w:sz w:val="32"/>
          <w:szCs w:val="32"/>
        </w:rPr>
      </w:pPr>
      <w:r>
        <w:rPr>
          <w:rFonts w:hint="eastAsia" w:ascii="宋体" w:hAnsi="宋体" w:eastAsia="宋体" w:cs="宋体"/>
          <w:sz w:val="32"/>
          <w:szCs w:val="32"/>
        </w:rPr>
        <w:t>系统性能是本项目建设的重点，投标方需从软件系统各层级（架构层、数据层、应用层、Web层等）对系统性能做出设计， 对大规模批量业务处理性能做出设计，对高并发业务支持做出设计，对系统实施各阶段（需求、开发、测试等）做出优化设计方案，保障系统稳定运行。</w:t>
      </w:r>
    </w:p>
    <w:p w14:paraId="14241A9C">
      <w:pPr>
        <w:pStyle w:val="3"/>
        <w:ind w:firstLine="482"/>
        <w:rPr>
          <w:rFonts w:hint="eastAsia" w:ascii="宋体" w:hAnsi="宋体" w:eastAsia="宋体" w:cs="宋体"/>
          <w:sz w:val="32"/>
          <w:szCs w:val="32"/>
        </w:rPr>
      </w:pPr>
      <w:r>
        <w:rPr>
          <w:rFonts w:hint="eastAsia" w:ascii="宋体" w:hAnsi="宋体" w:eastAsia="宋体" w:cs="宋体"/>
          <w:sz w:val="32"/>
          <w:szCs w:val="32"/>
        </w:rPr>
        <w:t>软件应用安全要求</w:t>
      </w:r>
    </w:p>
    <w:p w14:paraId="0B2FF9E7">
      <w:pPr>
        <w:pStyle w:val="50"/>
        <w:ind w:firstLine="480"/>
        <w:rPr>
          <w:rFonts w:hint="eastAsia" w:ascii="宋体" w:hAnsi="宋体" w:eastAsia="宋体" w:cs="宋体"/>
          <w:sz w:val="32"/>
          <w:szCs w:val="32"/>
        </w:rPr>
      </w:pPr>
      <w:r>
        <w:rPr>
          <w:rFonts w:hint="eastAsia" w:ascii="宋体" w:hAnsi="宋体" w:eastAsia="宋体" w:cs="宋体"/>
          <w:sz w:val="32"/>
          <w:szCs w:val="32"/>
        </w:rPr>
        <w:t>应用安全可以保证信息系统以安全的方式部署在一个安全架构之上，以实现保证信息保密性、完整性和可用性的目标。系统的安全不仅依靠基础架构来保证，还需要多层次的安全保护。要实现深度的安全保障，应将系统架构与多种安全机制和技术相结合。每个应用系统有相应层次的安全机制保护，就可以保证当局部组件或流程发生安全问题时，不会危及整个信息安全。针对本项目业务特点，本项目应用系统的应用安全技术和安全机制应包括：身份验证、访问控制、安全审计、软件容错、资源控制、抗暴力猜测、性能与容量控制、配置的安全管理、信息系统管理及使用文档等。</w:t>
      </w:r>
    </w:p>
    <w:p w14:paraId="3DBE0EAB">
      <w:pPr>
        <w:pStyle w:val="3"/>
        <w:ind w:firstLine="482"/>
        <w:rPr>
          <w:rFonts w:hint="eastAsia" w:ascii="宋体" w:hAnsi="宋体" w:eastAsia="宋体" w:cs="宋体"/>
          <w:sz w:val="32"/>
          <w:szCs w:val="32"/>
        </w:rPr>
      </w:pPr>
      <w:r>
        <w:rPr>
          <w:rFonts w:hint="eastAsia" w:ascii="宋体" w:hAnsi="宋体" w:eastAsia="宋体" w:cs="宋体"/>
          <w:sz w:val="32"/>
          <w:szCs w:val="32"/>
        </w:rPr>
        <w:t>数据安全要求</w:t>
      </w:r>
    </w:p>
    <w:p w14:paraId="7F6F6A9C">
      <w:pPr>
        <w:pStyle w:val="50"/>
        <w:ind w:firstLine="480"/>
        <w:rPr>
          <w:rFonts w:hint="eastAsia" w:ascii="宋体" w:hAnsi="宋体" w:eastAsia="宋体" w:cs="宋体"/>
          <w:sz w:val="32"/>
          <w:szCs w:val="32"/>
        </w:rPr>
      </w:pPr>
      <w:r>
        <w:rPr>
          <w:rFonts w:hint="eastAsia" w:ascii="宋体" w:hAnsi="宋体" w:eastAsia="宋体" w:cs="宋体"/>
          <w:sz w:val="32"/>
          <w:szCs w:val="32"/>
        </w:rPr>
        <w:t>数据安全是数据管理和应用的核心内容，数据泄露、黑客攻击等安全风险需要得到有效的防范和应对，以确保数据的安全和可靠性。面对数据安全的各种威胁因素，投标方需对数据传输加密、数据备份恢复、剩余信息保护、个人信息保护、敏感数据存储、抗抵赖、展示信息机密性保护等方面，提供全面完整的数据安全管理方案，保证数据处理过程的保密性、完整性、可用性。</w:t>
      </w:r>
    </w:p>
    <w:p w14:paraId="7CD7CC6C">
      <w:pPr>
        <w:pStyle w:val="3"/>
        <w:ind w:firstLine="482"/>
        <w:rPr>
          <w:rFonts w:hint="eastAsia" w:ascii="宋体" w:hAnsi="宋体" w:eastAsia="宋体" w:cs="宋体"/>
          <w:sz w:val="32"/>
          <w:szCs w:val="32"/>
        </w:rPr>
      </w:pPr>
      <w:r>
        <w:rPr>
          <w:rFonts w:hint="eastAsia" w:ascii="宋体" w:hAnsi="宋体" w:eastAsia="宋体" w:cs="宋体"/>
          <w:sz w:val="32"/>
          <w:szCs w:val="32"/>
        </w:rPr>
        <w:t>项目培训要求</w:t>
      </w:r>
    </w:p>
    <w:p w14:paraId="11C1E8CE">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投标方应负责使用人员的培训。培训对象包括系统管理员、使用人员，培训内容包括产品的功能、操作规程和注意事项、规则更新、日常维护事项等方面。并在项目实施后继续按照医院要求继续定期培训和考核。培训医院方组织，投标方应选择具有较高技术水平、丰富实际工作和教学经验的技术人员担任教师，并准备有关培训教材。</w:t>
      </w:r>
    </w:p>
    <w:p w14:paraId="284741F0">
      <w:pPr>
        <w:ind w:firstLine="640" w:firstLineChars="200"/>
        <w:rPr>
          <w:rFonts w:hint="eastAsia" w:ascii="宋体" w:hAnsi="宋体" w:eastAsia="宋体" w:cs="宋体"/>
          <w:sz w:val="32"/>
          <w:szCs w:val="32"/>
        </w:rPr>
      </w:pPr>
      <w:r>
        <w:rPr>
          <w:rFonts w:hint="eastAsia" w:ascii="宋体" w:hAnsi="宋体" w:eastAsia="宋体" w:cs="宋体"/>
          <w:sz w:val="32"/>
          <w:szCs w:val="32"/>
        </w:rPr>
        <w:t>专人负责各类医保迎检（含国家、省级、市级检查）数据支撑，包括疑点数据分析，病案数据、费用数据依据提取等配合工作。</w:t>
      </w:r>
    </w:p>
    <w:p w14:paraId="28CE8D72">
      <w:pPr>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人员配置：要求现场工程师（专业人员）少不于2人。发生由于系统原因导致的医保拒付费用，由公司承担。工程师被临床投诉超过3次以上的，甲方可以要求更换人员，乙方应予</w:t>
      </w:r>
      <w:bookmarkStart w:id="10" w:name="_GoBack"/>
      <w:bookmarkEnd w:id="10"/>
      <w:r>
        <w:rPr>
          <w:rFonts w:hint="eastAsia" w:ascii="宋体" w:hAnsi="宋体" w:eastAsia="宋体" w:cs="宋体"/>
          <w:sz w:val="32"/>
          <w:szCs w:val="32"/>
        </w:rPr>
        <w:t>配合。</w:t>
      </w:r>
    </w:p>
    <w:bookmarkEnd w:id="4"/>
    <w:bookmarkEnd w:id="5"/>
    <w:bookmarkEnd w:id="6"/>
    <w:bookmarkEnd w:id="7"/>
    <w:bookmarkEnd w:id="8"/>
    <w:p w14:paraId="1E07ED0F">
      <w:pPr>
        <w:rPr>
          <w:rFonts w:hint="eastAsia" w:ascii="宋体" w:hAnsi="宋体" w:eastAsia="宋体" w:cs="宋体"/>
          <w:sz w:val="32"/>
          <w:szCs w:val="32"/>
          <w:lang w:eastAsia="zh-CN"/>
        </w:rPr>
      </w:pPr>
    </w:p>
    <w:sectPr>
      <w:footerReference r:id="rId5" w:type="default"/>
      <w:pgSz w:w="12240" w:h="15840"/>
      <w:pgMar w:top="1276" w:right="1720" w:bottom="1418" w:left="1720" w:header="709" w:footer="596" w:gutter="0"/>
      <w:pgNumType w:fmt="decimal" w:start="0"/>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25621">
    <w:pPr>
      <w:pStyle w:val="17"/>
      <w:ind w:firstLine="360"/>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B4ABDB0">
                <w:pPr>
                  <w:pStyle w:val="1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35B22"/>
    <w:multiLevelType w:val="multilevel"/>
    <w:tmpl w:val="03435B22"/>
    <w:lvl w:ilvl="0" w:tentative="0">
      <w:start w:val="1"/>
      <w:numFmt w:val="decimal"/>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9"/>
      <w:lvlText w:val="%1.%2.%3.%4.%5.%6"/>
      <w:lvlJc w:val="left"/>
      <w:pPr>
        <w:ind w:left="1152" w:hanging="1152"/>
      </w:pPr>
      <w:rPr>
        <w:rFonts w:hint="eastAsia"/>
      </w:rPr>
    </w:lvl>
    <w:lvl w:ilvl="6" w:tentative="0">
      <w:start w:val="1"/>
      <w:numFmt w:val="decimal"/>
      <w:pStyle w:val="10"/>
      <w:lvlText w:val="%1.%2.%3.%4.%5.%6.%7"/>
      <w:lvlJc w:val="left"/>
      <w:pPr>
        <w:ind w:left="1296" w:hanging="1296"/>
      </w:pPr>
      <w:rPr>
        <w:rFonts w:hint="eastAsia"/>
      </w:rPr>
    </w:lvl>
    <w:lvl w:ilvl="7" w:tentative="0">
      <w:start w:val="1"/>
      <w:numFmt w:val="decimal"/>
      <w:pStyle w:val="11"/>
      <w:lvlText w:val="%1.%2.%3.%4.%5.%6.%7.%8"/>
      <w:lvlJc w:val="left"/>
      <w:pPr>
        <w:ind w:left="1440" w:hanging="1440"/>
      </w:pPr>
      <w:rPr>
        <w:rFonts w:hint="eastAsia"/>
      </w:rPr>
    </w:lvl>
    <w:lvl w:ilvl="8" w:tentative="0">
      <w:start w:val="1"/>
      <w:numFmt w:val="decimal"/>
      <w:pStyle w:val="12"/>
      <w:lvlText w:val="%1.%2.%3.%4.%5.%6.%7.%8.%9"/>
      <w:lvlJc w:val="left"/>
      <w:pPr>
        <w:ind w:left="1584" w:hanging="1584"/>
      </w:pPr>
      <w:rPr>
        <w:rFonts w:hint="eastAsia"/>
      </w:rPr>
    </w:lvl>
  </w:abstractNum>
  <w:abstractNum w:abstractNumId="1">
    <w:nsid w:val="346C5CA9"/>
    <w:multiLevelType w:val="multilevel"/>
    <w:tmpl w:val="346C5CA9"/>
    <w:lvl w:ilvl="0" w:tentative="0">
      <w:start w:val="1"/>
      <w:numFmt w:val="bullet"/>
      <w:pStyle w:val="60"/>
      <w:lvlText w:val="-"/>
      <w:lvlJc w:val="left"/>
      <w:pPr>
        <w:tabs>
          <w:tab w:val="left" w:pos="785"/>
        </w:tabs>
        <w:ind w:left="420" w:firstLine="5"/>
      </w:pPr>
      <w:rPr>
        <w:rFonts w:hint="eastAsia" w:ascii="宋体" w:hAnsi="Wingdings" w:eastAsia="宋体"/>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2291"/>
    <w:rsid w:val="000C74E3"/>
    <w:rsid w:val="00442291"/>
    <w:rsid w:val="008E6592"/>
    <w:rsid w:val="00C33261"/>
    <w:rsid w:val="06730CFA"/>
    <w:rsid w:val="340948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napToGrid w:val="0"/>
      <w:spacing w:line="360" w:lineRule="auto"/>
    </w:pPr>
    <w:rPr>
      <w:rFonts w:ascii="Times New Roman" w:hAnsi="Times New Roman" w:eastAsia="宋体" w:cs="Times New Roman"/>
      <w:sz w:val="24"/>
      <w:szCs w:val="22"/>
      <w:lang w:val="en-US" w:eastAsia="en-US" w:bidi="ar-SA"/>
    </w:rPr>
  </w:style>
  <w:style w:type="paragraph" w:styleId="2">
    <w:name w:val="heading 1"/>
    <w:basedOn w:val="1"/>
    <w:next w:val="1"/>
    <w:link w:val="28"/>
    <w:qFormat/>
    <w:uiPriority w:val="0"/>
    <w:pPr>
      <w:ind w:left="480"/>
      <w:outlineLvl w:val="0"/>
    </w:pPr>
    <w:rPr>
      <w:rFonts w:ascii="Microsoft JhengHei" w:hAnsi="Microsoft JhengHei"/>
      <w:b/>
      <w:bCs/>
      <w:szCs w:val="24"/>
      <w:lang w:eastAsia="zh-CN"/>
    </w:rPr>
  </w:style>
  <w:style w:type="paragraph" w:styleId="3">
    <w:name w:val="heading 2"/>
    <w:basedOn w:val="1"/>
    <w:next w:val="1"/>
    <w:link w:val="29"/>
    <w:qFormat/>
    <w:uiPriority w:val="0"/>
    <w:pPr>
      <w:widowControl/>
      <w:numPr>
        <w:ilvl w:val="1"/>
        <w:numId w:val="1"/>
      </w:numPr>
      <w:spacing w:before="120" w:after="120"/>
      <w:outlineLvl w:val="1"/>
    </w:pPr>
    <w:rPr>
      <w:rFonts w:ascii="宋体" w:hAnsi="宋体" w:cs="黑体"/>
      <w:b/>
      <w:bCs/>
      <w:kern w:val="2"/>
      <w:lang w:eastAsia="zh-CN"/>
    </w:rPr>
  </w:style>
  <w:style w:type="paragraph" w:styleId="4">
    <w:name w:val="heading 3"/>
    <w:basedOn w:val="1"/>
    <w:next w:val="1"/>
    <w:link w:val="30"/>
    <w:qFormat/>
    <w:uiPriority w:val="0"/>
    <w:pPr>
      <w:numPr>
        <w:ilvl w:val="2"/>
        <w:numId w:val="1"/>
      </w:numPr>
      <w:outlineLvl w:val="2"/>
    </w:pPr>
    <w:rPr>
      <w:rFonts w:ascii="Microsoft JhengHei" w:hAnsi="Microsoft JhengHei"/>
      <w:b/>
      <w:bCs/>
      <w:sz w:val="30"/>
      <w:szCs w:val="32"/>
      <w:lang w:eastAsia="zh-CN"/>
    </w:rPr>
  </w:style>
  <w:style w:type="paragraph" w:styleId="5">
    <w:name w:val="heading 4"/>
    <w:basedOn w:val="1"/>
    <w:next w:val="1"/>
    <w:link w:val="31"/>
    <w:qFormat/>
    <w:uiPriority w:val="0"/>
    <w:pPr>
      <w:numPr>
        <w:ilvl w:val="3"/>
        <w:numId w:val="1"/>
      </w:numPr>
      <w:outlineLvl w:val="3"/>
    </w:pPr>
    <w:rPr>
      <w:rFonts w:ascii="宋体" w:hAnsi="宋体"/>
      <w:b/>
      <w:sz w:val="28"/>
      <w:szCs w:val="28"/>
      <w:lang w:eastAsia="zh-CN"/>
    </w:rPr>
  </w:style>
  <w:style w:type="paragraph" w:styleId="6">
    <w:name w:val="heading 5"/>
    <w:basedOn w:val="1"/>
    <w:next w:val="7"/>
    <w:link w:val="32"/>
    <w:qFormat/>
    <w:uiPriority w:val="0"/>
    <w:pPr>
      <w:numPr>
        <w:ilvl w:val="4"/>
        <w:numId w:val="1"/>
      </w:numPr>
      <w:spacing w:afterLines="50"/>
      <w:outlineLvl w:val="4"/>
    </w:pPr>
    <w:rPr>
      <w:rFonts w:eastAsia="Times New Roman"/>
      <w:b/>
      <w:bCs/>
      <w:szCs w:val="21"/>
    </w:rPr>
  </w:style>
  <w:style w:type="paragraph" w:styleId="9">
    <w:name w:val="heading 6"/>
    <w:next w:val="1"/>
    <w:link w:val="33"/>
    <w:qFormat/>
    <w:uiPriority w:val="0"/>
    <w:pPr>
      <w:numPr>
        <w:ilvl w:val="5"/>
        <w:numId w:val="1"/>
      </w:numPr>
      <w:tabs>
        <w:tab w:val="left" w:pos="567"/>
        <w:tab w:val="left" w:pos="1418"/>
        <w:tab w:val="left" w:pos="2268"/>
        <w:tab w:val="left" w:pos="3402"/>
        <w:tab w:val="left" w:pos="4536"/>
        <w:tab w:val="left" w:pos="5954"/>
      </w:tabs>
      <w:overflowPunct w:val="0"/>
      <w:autoSpaceDE w:val="0"/>
      <w:autoSpaceDN w:val="0"/>
      <w:adjustRightInd w:val="0"/>
      <w:spacing w:line="360" w:lineRule="auto"/>
      <w:jc w:val="both"/>
      <w:textAlignment w:val="baseline"/>
      <w:outlineLvl w:val="5"/>
    </w:pPr>
    <w:rPr>
      <w:rFonts w:ascii="Helvetica" w:hAnsi="Helvetica" w:eastAsia="宋体" w:cs="Times New Roman"/>
      <w:b/>
      <w:position w:val="-6"/>
      <w:sz w:val="24"/>
      <w:lang w:val="en-GB" w:eastAsia="zh-CN" w:bidi="ar-SA"/>
    </w:rPr>
  </w:style>
  <w:style w:type="paragraph" w:styleId="10">
    <w:name w:val="heading 7"/>
    <w:basedOn w:val="1"/>
    <w:next w:val="1"/>
    <w:link w:val="34"/>
    <w:qFormat/>
    <w:uiPriority w:val="0"/>
    <w:pPr>
      <w:widowControl/>
      <w:numPr>
        <w:ilvl w:val="6"/>
        <w:numId w:val="1"/>
      </w:numPr>
      <w:overflowPunct w:val="0"/>
      <w:autoSpaceDE w:val="0"/>
      <w:autoSpaceDN w:val="0"/>
      <w:adjustRightInd w:val="0"/>
      <w:jc w:val="both"/>
      <w:textAlignment w:val="baseline"/>
      <w:outlineLvl w:val="6"/>
    </w:pPr>
    <w:rPr>
      <w:i/>
      <w:position w:val="-6"/>
      <w:sz w:val="20"/>
      <w:szCs w:val="20"/>
      <w:lang w:val="en-GB" w:eastAsia="zh-CN"/>
    </w:rPr>
  </w:style>
  <w:style w:type="paragraph" w:styleId="11">
    <w:name w:val="heading 8"/>
    <w:basedOn w:val="1"/>
    <w:next w:val="1"/>
    <w:link w:val="35"/>
    <w:qFormat/>
    <w:uiPriority w:val="0"/>
    <w:pPr>
      <w:widowControl/>
      <w:numPr>
        <w:ilvl w:val="7"/>
        <w:numId w:val="1"/>
      </w:numPr>
      <w:overflowPunct w:val="0"/>
      <w:autoSpaceDE w:val="0"/>
      <w:autoSpaceDN w:val="0"/>
      <w:adjustRightInd w:val="0"/>
      <w:jc w:val="both"/>
      <w:textAlignment w:val="baseline"/>
      <w:outlineLvl w:val="7"/>
    </w:pPr>
    <w:rPr>
      <w:i/>
      <w:position w:val="-6"/>
      <w:sz w:val="20"/>
      <w:szCs w:val="20"/>
      <w:lang w:val="en-GB" w:eastAsia="zh-CN"/>
    </w:rPr>
  </w:style>
  <w:style w:type="paragraph" w:styleId="12">
    <w:name w:val="heading 9"/>
    <w:basedOn w:val="1"/>
    <w:next w:val="1"/>
    <w:link w:val="36"/>
    <w:qFormat/>
    <w:uiPriority w:val="0"/>
    <w:pPr>
      <w:widowControl/>
      <w:numPr>
        <w:ilvl w:val="8"/>
        <w:numId w:val="1"/>
      </w:numPr>
      <w:overflowPunct w:val="0"/>
      <w:autoSpaceDE w:val="0"/>
      <w:autoSpaceDN w:val="0"/>
      <w:adjustRightInd w:val="0"/>
      <w:jc w:val="both"/>
      <w:textAlignment w:val="baseline"/>
      <w:outlineLvl w:val="8"/>
    </w:pPr>
    <w:rPr>
      <w:i/>
      <w:position w:val="-6"/>
      <w:sz w:val="20"/>
      <w:szCs w:val="20"/>
      <w:lang w:val="en-GB" w:eastAsia="zh-CN"/>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7">
    <w:name w:val="样式 正文缩进 + 首行缩进:  2 字符"/>
    <w:basedOn w:val="8"/>
    <w:qFormat/>
    <w:uiPriority w:val="0"/>
    <w:pPr>
      <w:ind w:firstLine="200"/>
    </w:pPr>
    <w:rPr>
      <w:szCs w:val="20"/>
    </w:rPr>
  </w:style>
  <w:style w:type="paragraph" w:styleId="8">
    <w:name w:val="Normal Indent"/>
    <w:basedOn w:val="1"/>
    <w:unhideWhenUsed/>
    <w:qFormat/>
    <w:uiPriority w:val="99"/>
    <w:pPr>
      <w:ind w:firstLine="420"/>
    </w:pPr>
  </w:style>
  <w:style w:type="paragraph" w:styleId="13">
    <w:name w:val="annotation text"/>
    <w:basedOn w:val="1"/>
    <w:link w:val="39"/>
    <w:unhideWhenUsed/>
    <w:qFormat/>
    <w:uiPriority w:val="99"/>
    <w:rPr>
      <w:lang w:eastAsia="zh-CN"/>
    </w:rPr>
  </w:style>
  <w:style w:type="paragraph" w:styleId="14">
    <w:name w:val="Body Text"/>
    <w:basedOn w:val="1"/>
    <w:link w:val="46"/>
    <w:unhideWhenUsed/>
    <w:qFormat/>
    <w:uiPriority w:val="99"/>
    <w:pPr>
      <w:spacing w:after="120"/>
    </w:pPr>
  </w:style>
  <w:style w:type="paragraph" w:styleId="15">
    <w:name w:val="Plain Text"/>
    <w:basedOn w:val="1"/>
    <w:next w:val="1"/>
    <w:link w:val="59"/>
    <w:qFormat/>
    <w:uiPriority w:val="99"/>
    <w:pPr>
      <w:autoSpaceDE w:val="0"/>
      <w:autoSpaceDN w:val="0"/>
      <w:adjustRightInd w:val="0"/>
      <w:spacing w:line="240" w:lineRule="auto"/>
      <w:ind w:firstLine="883"/>
    </w:pPr>
    <w:rPr>
      <w:rFonts w:ascii="宋体" w:hAnsi="Calibri" w:eastAsiaTheme="minorEastAsia" w:cstheme="minorBidi"/>
      <w:sz w:val="20"/>
      <w:szCs w:val="24"/>
      <w:lang w:eastAsia="zh-CN"/>
    </w:rPr>
  </w:style>
  <w:style w:type="paragraph" w:styleId="16">
    <w:name w:val="Balloon Text"/>
    <w:basedOn w:val="1"/>
    <w:link w:val="61"/>
    <w:unhideWhenUsed/>
    <w:qFormat/>
    <w:uiPriority w:val="99"/>
    <w:pPr>
      <w:spacing w:line="240" w:lineRule="auto"/>
    </w:pPr>
    <w:rPr>
      <w:sz w:val="18"/>
      <w:szCs w:val="18"/>
    </w:rPr>
  </w:style>
  <w:style w:type="paragraph" w:styleId="17">
    <w:name w:val="footer"/>
    <w:basedOn w:val="1"/>
    <w:link w:val="38"/>
    <w:unhideWhenUsed/>
    <w:qFormat/>
    <w:uiPriority w:val="99"/>
    <w:pPr>
      <w:tabs>
        <w:tab w:val="center" w:pos="4153"/>
        <w:tab w:val="right" w:pos="8306"/>
      </w:tabs>
    </w:pPr>
    <w:rPr>
      <w:sz w:val="18"/>
      <w:szCs w:val="18"/>
    </w:rPr>
  </w:style>
  <w:style w:type="paragraph" w:styleId="18">
    <w:name w:val="header"/>
    <w:basedOn w:val="1"/>
    <w:link w:val="56"/>
    <w:unhideWhenUsed/>
    <w:qFormat/>
    <w:uiPriority w:val="99"/>
    <w:pPr>
      <w:tabs>
        <w:tab w:val="center" w:pos="4153"/>
        <w:tab w:val="right" w:pos="8306"/>
      </w:tabs>
      <w:spacing w:line="240" w:lineRule="auto"/>
      <w:jc w:val="center"/>
    </w:pPr>
    <w:rPr>
      <w:sz w:val="18"/>
      <w:szCs w:val="18"/>
    </w:rPr>
  </w:style>
  <w:style w:type="paragraph" w:styleId="19">
    <w:name w:val="Normal (Web)"/>
    <w:basedOn w:val="1"/>
    <w:unhideWhenUsed/>
    <w:qFormat/>
    <w:uiPriority w:val="99"/>
  </w:style>
  <w:style w:type="paragraph" w:styleId="20">
    <w:name w:val="Title"/>
    <w:basedOn w:val="1"/>
    <w:next w:val="1"/>
    <w:link w:val="45"/>
    <w:qFormat/>
    <w:uiPriority w:val="10"/>
    <w:pPr>
      <w:spacing w:before="240" w:after="60"/>
      <w:jc w:val="center"/>
      <w:outlineLvl w:val="0"/>
    </w:pPr>
    <w:rPr>
      <w:rFonts w:asciiTheme="majorHAnsi" w:hAnsiTheme="majorHAnsi" w:eastAsiaTheme="majorEastAsia" w:cstheme="majorBidi"/>
      <w:b/>
      <w:bCs/>
      <w:sz w:val="32"/>
      <w:szCs w:val="32"/>
    </w:rPr>
  </w:style>
  <w:style w:type="paragraph" w:styleId="21">
    <w:name w:val="annotation subject"/>
    <w:basedOn w:val="13"/>
    <w:next w:val="13"/>
    <w:link w:val="55"/>
    <w:unhideWhenUsed/>
    <w:qFormat/>
    <w:uiPriority w:val="99"/>
    <w:rPr>
      <w:b/>
      <w:bCs/>
      <w:lang w:eastAsia="en-US"/>
    </w:rPr>
  </w:style>
  <w:style w:type="paragraph" w:styleId="22">
    <w:name w:val="Body Text First Indent"/>
    <w:basedOn w:val="14"/>
    <w:link w:val="48"/>
    <w:qFormat/>
    <w:uiPriority w:val="0"/>
    <w:pPr>
      <w:spacing w:after="0"/>
      <w:jc w:val="both"/>
    </w:pPr>
    <w:rPr>
      <w:kern w:val="2"/>
      <w:szCs w:val="24"/>
      <w:lang w:eastAsia="zh-CN"/>
    </w:rPr>
  </w:style>
  <w:style w:type="table" w:styleId="24">
    <w:name w:val="Table Grid"/>
    <w:basedOn w:val="2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Emphasis"/>
    <w:basedOn w:val="25"/>
    <w:qFormat/>
    <w:uiPriority w:val="20"/>
    <w:rPr>
      <w:i/>
      <w:iCs/>
    </w:rPr>
  </w:style>
  <w:style w:type="character" w:styleId="27">
    <w:name w:val="annotation reference"/>
    <w:unhideWhenUsed/>
    <w:qFormat/>
    <w:uiPriority w:val="99"/>
    <w:rPr>
      <w:sz w:val="21"/>
      <w:szCs w:val="21"/>
    </w:rPr>
  </w:style>
  <w:style w:type="character" w:customStyle="1" w:styleId="28">
    <w:name w:val="标题 1 Char"/>
    <w:basedOn w:val="25"/>
    <w:link w:val="2"/>
    <w:qFormat/>
    <w:uiPriority w:val="0"/>
    <w:rPr>
      <w:rFonts w:ascii="Microsoft JhengHei" w:hAnsi="Microsoft JhengHei"/>
      <w:b/>
      <w:bCs/>
      <w:sz w:val="24"/>
      <w:szCs w:val="24"/>
    </w:rPr>
  </w:style>
  <w:style w:type="character" w:customStyle="1" w:styleId="29">
    <w:name w:val="标题 2 Char"/>
    <w:basedOn w:val="25"/>
    <w:link w:val="3"/>
    <w:qFormat/>
    <w:uiPriority w:val="0"/>
    <w:rPr>
      <w:rFonts w:ascii="宋体" w:hAnsi="宋体" w:cs="黑体"/>
      <w:b/>
      <w:bCs/>
      <w:kern w:val="2"/>
      <w:sz w:val="24"/>
      <w:szCs w:val="22"/>
    </w:rPr>
  </w:style>
  <w:style w:type="character" w:customStyle="1" w:styleId="30">
    <w:name w:val="标题 3 Char"/>
    <w:basedOn w:val="25"/>
    <w:link w:val="4"/>
    <w:qFormat/>
    <w:uiPriority w:val="0"/>
    <w:rPr>
      <w:rFonts w:ascii="Microsoft JhengHei" w:hAnsi="Microsoft JhengHei" w:eastAsia="宋体" w:cs="Times New Roman"/>
      <w:b/>
      <w:bCs/>
      <w:kern w:val="0"/>
      <w:sz w:val="30"/>
      <w:szCs w:val="32"/>
    </w:rPr>
  </w:style>
  <w:style w:type="character" w:customStyle="1" w:styleId="31">
    <w:name w:val="标题 4 Char"/>
    <w:basedOn w:val="25"/>
    <w:link w:val="5"/>
    <w:qFormat/>
    <w:uiPriority w:val="0"/>
    <w:rPr>
      <w:rFonts w:ascii="宋体" w:hAnsi="宋体" w:eastAsia="宋体" w:cs="Times New Roman"/>
      <w:b/>
      <w:kern w:val="0"/>
      <w:sz w:val="28"/>
      <w:szCs w:val="28"/>
    </w:rPr>
  </w:style>
  <w:style w:type="character" w:customStyle="1" w:styleId="32">
    <w:name w:val="标题 5 Char"/>
    <w:basedOn w:val="25"/>
    <w:link w:val="6"/>
    <w:qFormat/>
    <w:uiPriority w:val="0"/>
    <w:rPr>
      <w:rFonts w:eastAsia="Times New Roman"/>
      <w:b/>
      <w:bCs/>
      <w:sz w:val="24"/>
      <w:szCs w:val="21"/>
      <w:lang w:eastAsia="en-US"/>
    </w:rPr>
  </w:style>
  <w:style w:type="character" w:customStyle="1" w:styleId="33">
    <w:name w:val="标题 6 Char"/>
    <w:basedOn w:val="25"/>
    <w:link w:val="9"/>
    <w:qFormat/>
    <w:uiPriority w:val="0"/>
    <w:rPr>
      <w:rFonts w:ascii="Helvetica" w:hAnsi="Helvetica"/>
      <w:b/>
      <w:position w:val="-6"/>
      <w:sz w:val="24"/>
      <w:lang w:val="en-GB"/>
    </w:rPr>
  </w:style>
  <w:style w:type="character" w:customStyle="1" w:styleId="34">
    <w:name w:val="标题 7 Char"/>
    <w:basedOn w:val="25"/>
    <w:link w:val="10"/>
    <w:qFormat/>
    <w:uiPriority w:val="0"/>
    <w:rPr>
      <w:rFonts w:ascii="Times New Roman" w:hAnsi="Times New Roman" w:eastAsia="宋体" w:cs="Times New Roman"/>
      <w:i/>
      <w:kern w:val="0"/>
      <w:position w:val="-6"/>
      <w:sz w:val="20"/>
      <w:szCs w:val="20"/>
      <w:lang w:val="en-GB"/>
    </w:rPr>
  </w:style>
  <w:style w:type="character" w:customStyle="1" w:styleId="35">
    <w:name w:val="标题 8 Char"/>
    <w:basedOn w:val="25"/>
    <w:link w:val="11"/>
    <w:qFormat/>
    <w:uiPriority w:val="0"/>
    <w:rPr>
      <w:rFonts w:ascii="Times New Roman" w:hAnsi="Times New Roman" w:eastAsia="宋体" w:cs="Times New Roman"/>
      <w:i/>
      <w:kern w:val="0"/>
      <w:position w:val="-6"/>
      <w:sz w:val="20"/>
      <w:szCs w:val="20"/>
      <w:lang w:val="en-GB"/>
    </w:rPr>
  </w:style>
  <w:style w:type="character" w:customStyle="1" w:styleId="36">
    <w:name w:val="标题 9 Char"/>
    <w:basedOn w:val="25"/>
    <w:link w:val="12"/>
    <w:qFormat/>
    <w:uiPriority w:val="0"/>
    <w:rPr>
      <w:rFonts w:ascii="Times New Roman" w:hAnsi="Times New Roman" w:eastAsia="宋体" w:cs="Times New Roman"/>
      <w:i/>
      <w:kern w:val="0"/>
      <w:position w:val="-6"/>
      <w:sz w:val="20"/>
      <w:szCs w:val="20"/>
      <w:lang w:val="en-GB"/>
    </w:rPr>
  </w:style>
  <w:style w:type="character" w:customStyle="1" w:styleId="37">
    <w:name w:val="批注文字 字符"/>
    <w:basedOn w:val="25"/>
    <w:semiHidden/>
    <w:qFormat/>
    <w:uiPriority w:val="99"/>
    <w:rPr>
      <w:rFonts w:ascii="Times New Roman" w:hAnsi="Times New Roman" w:eastAsia="宋体" w:cs="Times New Roman"/>
      <w:kern w:val="0"/>
      <w:sz w:val="22"/>
      <w:lang w:eastAsia="en-US"/>
    </w:rPr>
  </w:style>
  <w:style w:type="character" w:customStyle="1" w:styleId="38">
    <w:name w:val="页脚 Char"/>
    <w:basedOn w:val="25"/>
    <w:link w:val="17"/>
    <w:qFormat/>
    <w:uiPriority w:val="99"/>
    <w:rPr>
      <w:rFonts w:ascii="Times New Roman" w:hAnsi="Times New Roman" w:eastAsia="宋体" w:cs="Times New Roman"/>
      <w:kern w:val="0"/>
      <w:sz w:val="18"/>
      <w:szCs w:val="18"/>
      <w:lang w:eastAsia="en-US"/>
    </w:rPr>
  </w:style>
  <w:style w:type="character" w:customStyle="1" w:styleId="39">
    <w:name w:val="批注文字 Char"/>
    <w:link w:val="13"/>
    <w:qFormat/>
    <w:uiPriority w:val="0"/>
    <w:rPr>
      <w:rFonts w:ascii="Times New Roman" w:hAnsi="Times New Roman" w:eastAsia="宋体" w:cs="Times New Roman"/>
      <w:kern w:val="0"/>
      <w:sz w:val="22"/>
      <w:lang w:eastAsia="en-US"/>
    </w:rPr>
  </w:style>
  <w:style w:type="paragraph" w:customStyle="1" w:styleId="40">
    <w:name w:val="列出段落1"/>
    <w:basedOn w:val="1"/>
    <w:link w:val="44"/>
    <w:qFormat/>
    <w:uiPriority w:val="34"/>
  </w:style>
  <w:style w:type="paragraph" w:customStyle="1" w:styleId="41">
    <w:name w:val="标题 1+ 黑体"/>
    <w:basedOn w:val="20"/>
    <w:qFormat/>
    <w:uiPriority w:val="0"/>
    <w:pPr>
      <w:spacing w:before="0"/>
    </w:pPr>
    <w:rPr>
      <w:rFonts w:ascii="黑体" w:hAnsi="Arial" w:eastAsia="黑体" w:cs="Times New Roman"/>
      <w:kern w:val="2"/>
      <w:lang w:eastAsia="zh-CN"/>
    </w:rPr>
  </w:style>
  <w:style w:type="paragraph" w:customStyle="1" w:styleId="42">
    <w:name w:val="正文1"/>
    <w:basedOn w:val="1"/>
    <w:qFormat/>
    <w:uiPriority w:val="0"/>
    <w:pPr>
      <w:adjustRightInd w:val="0"/>
      <w:spacing w:line="360" w:lineRule="atLeast"/>
      <w:textAlignment w:val="baseline"/>
    </w:pPr>
    <w:rPr>
      <w:rFonts w:ascii="宋体"/>
      <w:szCs w:val="20"/>
      <w:lang w:eastAsia="zh-CN"/>
    </w:rPr>
  </w:style>
  <w:style w:type="paragraph" w:customStyle="1" w:styleId="43">
    <w:name w:val="采购申报表备注"/>
    <w:basedOn w:val="1"/>
    <w:qFormat/>
    <w:uiPriority w:val="0"/>
    <w:pPr>
      <w:tabs>
        <w:tab w:val="left" w:pos="2634"/>
      </w:tabs>
      <w:jc w:val="both"/>
    </w:pPr>
    <w:rPr>
      <w:rFonts w:ascii="仿宋_GB2312" w:eastAsia="仿宋_GB2312"/>
      <w:kern w:val="2"/>
      <w:sz w:val="21"/>
      <w:szCs w:val="24"/>
      <w:lang w:eastAsia="zh-CN"/>
    </w:rPr>
  </w:style>
  <w:style w:type="character" w:customStyle="1" w:styleId="44">
    <w:name w:val="列出段落 Char"/>
    <w:link w:val="40"/>
    <w:qFormat/>
    <w:uiPriority w:val="34"/>
    <w:rPr>
      <w:rFonts w:ascii="Times New Roman" w:hAnsi="Times New Roman" w:eastAsia="宋体" w:cs="Times New Roman"/>
      <w:kern w:val="0"/>
      <w:sz w:val="22"/>
      <w:lang w:eastAsia="en-US"/>
    </w:rPr>
  </w:style>
  <w:style w:type="character" w:customStyle="1" w:styleId="45">
    <w:name w:val="标题 Char"/>
    <w:basedOn w:val="25"/>
    <w:link w:val="20"/>
    <w:qFormat/>
    <w:uiPriority w:val="10"/>
    <w:rPr>
      <w:rFonts w:asciiTheme="majorHAnsi" w:hAnsiTheme="majorHAnsi" w:eastAsiaTheme="majorEastAsia" w:cstheme="majorBidi"/>
      <w:b/>
      <w:bCs/>
      <w:kern w:val="0"/>
      <w:sz w:val="32"/>
      <w:szCs w:val="32"/>
      <w:lang w:eastAsia="en-US"/>
    </w:rPr>
  </w:style>
  <w:style w:type="character" w:customStyle="1" w:styleId="46">
    <w:name w:val="正文文本 Char"/>
    <w:basedOn w:val="25"/>
    <w:link w:val="14"/>
    <w:semiHidden/>
    <w:qFormat/>
    <w:uiPriority w:val="99"/>
    <w:rPr>
      <w:rFonts w:ascii="Times New Roman" w:hAnsi="Times New Roman" w:eastAsia="宋体" w:cs="Times New Roman"/>
      <w:kern w:val="0"/>
      <w:sz w:val="24"/>
      <w:lang w:eastAsia="en-US"/>
    </w:rPr>
  </w:style>
  <w:style w:type="character" w:customStyle="1" w:styleId="47">
    <w:name w:val="正文文本首行缩进 字符"/>
    <w:basedOn w:val="46"/>
    <w:semiHidden/>
    <w:qFormat/>
    <w:uiPriority w:val="99"/>
    <w:rPr>
      <w:rFonts w:ascii="Times New Roman" w:hAnsi="Times New Roman" w:eastAsia="宋体" w:cs="Times New Roman"/>
      <w:kern w:val="0"/>
      <w:sz w:val="24"/>
      <w:lang w:eastAsia="en-US"/>
    </w:rPr>
  </w:style>
  <w:style w:type="character" w:customStyle="1" w:styleId="48">
    <w:name w:val="正文首行缩进 Char"/>
    <w:link w:val="22"/>
    <w:qFormat/>
    <w:uiPriority w:val="0"/>
    <w:rPr>
      <w:rFonts w:ascii="Times New Roman" w:hAnsi="Times New Roman" w:eastAsia="宋体" w:cs="Times New Roman"/>
      <w:sz w:val="24"/>
      <w:szCs w:val="24"/>
    </w:rPr>
  </w:style>
  <w:style w:type="character" w:customStyle="1" w:styleId="49">
    <w:name w:val="正文缩进2 字符"/>
    <w:basedOn w:val="25"/>
    <w:link w:val="50"/>
    <w:qFormat/>
    <w:uiPriority w:val="0"/>
    <w:rPr>
      <w:rFonts w:hint="eastAsia" w:ascii="宋体" w:hAnsi="等线" w:eastAsia="宋体" w:cs="Times New Roman"/>
      <w:kern w:val="2"/>
      <w:sz w:val="24"/>
      <w:szCs w:val="22"/>
    </w:rPr>
  </w:style>
  <w:style w:type="paragraph" w:customStyle="1" w:styleId="50">
    <w:name w:val="正文缩进2"/>
    <w:basedOn w:val="1"/>
    <w:link w:val="49"/>
    <w:qFormat/>
    <w:uiPriority w:val="0"/>
    <w:pPr>
      <w:jc w:val="both"/>
    </w:pPr>
    <w:rPr>
      <w:rFonts w:hint="eastAsia" w:ascii="宋体" w:hAnsi="等线"/>
      <w:kern w:val="2"/>
      <w:lang w:eastAsia="zh-CN"/>
    </w:rPr>
  </w:style>
  <w:style w:type="character" w:customStyle="1" w:styleId="51">
    <w:name w:val="标题 4 字符"/>
    <w:basedOn w:val="25"/>
    <w:qFormat/>
    <w:uiPriority w:val="0"/>
    <w:rPr>
      <w:rFonts w:hint="eastAsia" w:ascii="等线 Light" w:hAnsi="等线 Light" w:eastAsia="宋体" w:cs="Times New Roman"/>
      <w:b/>
      <w:bCs/>
      <w:kern w:val="2"/>
      <w:sz w:val="28"/>
      <w:szCs w:val="28"/>
    </w:rPr>
  </w:style>
  <w:style w:type="character" w:customStyle="1" w:styleId="52">
    <w:name w:val="标题 3 字符"/>
    <w:basedOn w:val="25"/>
    <w:qFormat/>
    <w:uiPriority w:val="0"/>
    <w:rPr>
      <w:rFonts w:hint="eastAsia" w:ascii="宋体" w:hAnsi="等线" w:eastAsia="宋体" w:cs="Times New Roman"/>
      <w:b/>
      <w:bCs/>
      <w:kern w:val="2"/>
      <w:sz w:val="32"/>
      <w:szCs w:val="32"/>
    </w:rPr>
  </w:style>
  <w:style w:type="character" w:customStyle="1" w:styleId="53">
    <w:name w:val="标题 5 字符"/>
    <w:basedOn w:val="25"/>
    <w:qFormat/>
    <w:uiPriority w:val="0"/>
    <w:rPr>
      <w:rFonts w:hint="eastAsia" w:ascii="宋体" w:hAnsi="等线" w:eastAsia="宋体" w:cs="Times New Roman"/>
      <w:b/>
      <w:bCs/>
      <w:kern w:val="2"/>
      <w:sz w:val="28"/>
      <w:szCs w:val="28"/>
    </w:rPr>
  </w:style>
  <w:style w:type="paragraph" w:customStyle="1" w:styleId="54">
    <w:name w:val="msolistparagraph"/>
    <w:basedOn w:val="1"/>
    <w:qFormat/>
    <w:uiPriority w:val="0"/>
    <w:rPr>
      <w:lang w:eastAsia="zh-CN"/>
    </w:rPr>
  </w:style>
  <w:style w:type="character" w:customStyle="1" w:styleId="55">
    <w:name w:val="批注主题 Char"/>
    <w:basedOn w:val="39"/>
    <w:link w:val="21"/>
    <w:semiHidden/>
    <w:qFormat/>
    <w:uiPriority w:val="99"/>
    <w:rPr>
      <w:rFonts w:ascii="Times New Roman" w:hAnsi="Times New Roman" w:eastAsia="宋体" w:cs="Times New Roman"/>
      <w:b/>
      <w:bCs/>
      <w:kern w:val="0"/>
      <w:sz w:val="24"/>
      <w:szCs w:val="22"/>
      <w:lang w:eastAsia="en-US"/>
    </w:rPr>
  </w:style>
  <w:style w:type="character" w:customStyle="1" w:styleId="56">
    <w:name w:val="页眉 Char"/>
    <w:basedOn w:val="25"/>
    <w:link w:val="18"/>
    <w:qFormat/>
    <w:uiPriority w:val="99"/>
    <w:rPr>
      <w:sz w:val="18"/>
      <w:szCs w:val="18"/>
      <w:lang w:eastAsia="en-US"/>
    </w:rPr>
  </w:style>
  <w:style w:type="paragraph" w:customStyle="1" w:styleId="57">
    <w:name w:val="修订1"/>
    <w:hidden/>
    <w:unhideWhenUsed/>
    <w:qFormat/>
    <w:uiPriority w:val="99"/>
    <w:rPr>
      <w:rFonts w:ascii="Times New Roman" w:hAnsi="Times New Roman" w:eastAsia="宋体" w:cs="Times New Roman"/>
      <w:sz w:val="24"/>
      <w:szCs w:val="22"/>
      <w:lang w:val="en-US" w:eastAsia="en-US" w:bidi="ar-SA"/>
    </w:rPr>
  </w:style>
  <w:style w:type="paragraph" w:customStyle="1" w:styleId="58">
    <w:name w:val="首行缩进"/>
    <w:basedOn w:val="1"/>
    <w:qFormat/>
    <w:uiPriority w:val="0"/>
    <w:pPr>
      <w:ind w:firstLine="480"/>
    </w:pPr>
    <w:rPr>
      <w:rFonts w:hint="eastAsia" w:ascii="宋体" w:hAnsi="宋体"/>
      <w:kern w:val="2"/>
      <w:lang w:eastAsia="zh-CN"/>
    </w:rPr>
  </w:style>
  <w:style w:type="character" w:customStyle="1" w:styleId="59">
    <w:name w:val="纯文本 Char"/>
    <w:basedOn w:val="25"/>
    <w:link w:val="15"/>
    <w:qFormat/>
    <w:uiPriority w:val="99"/>
    <w:rPr>
      <w:rFonts w:ascii="宋体" w:hAnsi="Calibri" w:eastAsiaTheme="minorEastAsia" w:cstheme="minorBidi"/>
      <w:szCs w:val="24"/>
    </w:rPr>
  </w:style>
  <w:style w:type="paragraph" w:customStyle="1" w:styleId="60">
    <w:name w:val="U_编号2"/>
    <w:basedOn w:val="1"/>
    <w:qFormat/>
    <w:uiPriority w:val="0"/>
    <w:pPr>
      <w:numPr>
        <w:ilvl w:val="0"/>
        <w:numId w:val="2"/>
      </w:numPr>
      <w:spacing w:beforeLines="10" w:afterLines="10" w:line="300" w:lineRule="auto"/>
      <w:jc w:val="both"/>
    </w:pPr>
    <w:rPr>
      <w:rFonts w:eastAsiaTheme="minorEastAsia" w:cstheme="minorBidi"/>
      <w:kern w:val="2"/>
      <w:szCs w:val="20"/>
      <w:lang w:eastAsia="zh-CN"/>
    </w:rPr>
  </w:style>
  <w:style w:type="character" w:customStyle="1" w:styleId="61">
    <w:name w:val="批注框文本 Char"/>
    <w:basedOn w:val="25"/>
    <w:link w:val="16"/>
    <w:semiHidden/>
    <w:qFormat/>
    <w:uiPriority w:val="99"/>
    <w:rPr>
      <w:sz w:val="18"/>
      <w:szCs w:val="18"/>
      <w:lang w:eastAsia="en-US"/>
    </w:rPr>
  </w:style>
  <w:style w:type="paragraph" w:customStyle="1" w:styleId="62">
    <w:name w:val="修订2"/>
    <w:hidden/>
    <w:unhideWhenUsed/>
    <w:qFormat/>
    <w:uiPriority w:val="99"/>
    <w:rPr>
      <w:rFonts w:ascii="Times New Roman" w:hAnsi="Times New Roman" w:eastAsia="宋体" w:cs="Times New Roman"/>
      <w:sz w:val="24"/>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23</Pages>
  <Words>9225</Words>
  <Characters>9797</Characters>
  <Lines>71</Lines>
  <Paragraphs>20</Paragraphs>
  <TotalTime>8</TotalTime>
  <ScaleCrop>false</ScaleCrop>
  <LinksUpToDate>false</LinksUpToDate>
  <CharactersWithSpaces>9832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2024-04-23T05:44:00Z</dcterms:created>
  <dc:creator>Data</dc:creator>
  <cp:lastModifiedBy>微信用户</cp:lastModifiedBy>
  <cp:lastPrinted>2025-01-03T22:36:00Z</cp:lastPrinted>
  <dcterms:modified xsi:type="dcterms:W3CDTF">2025-03-25T01:40:05Z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E8397F2DE28E428483296F957F0C845A</vt:lpwstr>
  </property>
  <property fmtid="{D5CDD505-2E9C-101B-9397-08002B2CF9AE}" pid="4" name="KSOTemplateDocerSaveRecord">
    <vt:lpwstr>eyJoZGlkIjoiNmRiYmYwZjIwMmFhMTY1ZTM2NjQ4ODBhNTEwOTIyMzUiLCJ1c2VySWQiOiIxMjU4NTI4NzEwIn0=</vt:lpwstr>
  </property>
</Properties>
</file>