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D80D4">
      <w:pPr>
        <w:jc w:val="center"/>
        <w:rPr>
          <w:b/>
          <w:bCs/>
          <w:sz w:val="28"/>
          <w:szCs w:val="28"/>
        </w:rPr>
      </w:pPr>
      <w:r>
        <w:rPr>
          <w:rFonts w:hint="eastAsia"/>
          <w:b/>
          <w:bCs/>
          <w:sz w:val="28"/>
          <w:szCs w:val="28"/>
          <w:lang w:val="en-US" w:eastAsia="zh-CN"/>
        </w:rPr>
        <w:t>虚拟化系统扩容服务</w:t>
      </w:r>
      <w:r>
        <w:rPr>
          <w:rFonts w:hint="eastAsia"/>
          <w:b/>
          <w:bCs/>
          <w:sz w:val="28"/>
          <w:szCs w:val="28"/>
        </w:rPr>
        <w:t>采购需求</w:t>
      </w:r>
    </w:p>
    <w:p w14:paraId="49D78EF2">
      <w:pPr>
        <w:jc w:val="left"/>
        <w:rPr>
          <w:rFonts w:hint="eastAsia" w:eastAsiaTheme="minorEastAsia"/>
          <w:b/>
          <w:sz w:val="24"/>
          <w:szCs w:val="24"/>
          <w:lang w:val="en-US" w:eastAsia="zh-CN"/>
        </w:rPr>
      </w:pPr>
      <w:r>
        <w:rPr>
          <w:rFonts w:hint="eastAsia"/>
          <w:b/>
          <w:sz w:val="24"/>
          <w:szCs w:val="24"/>
        </w:rPr>
        <w:t>一、采购清单及技术</w:t>
      </w:r>
      <w:r>
        <w:rPr>
          <w:rFonts w:hint="eastAsia"/>
          <w:b/>
          <w:sz w:val="24"/>
          <w:szCs w:val="24"/>
          <w:lang w:val="en-US" w:eastAsia="zh-CN"/>
        </w:rPr>
        <w:t>要求</w:t>
      </w:r>
    </w:p>
    <w:tbl>
      <w:tblPr>
        <w:tblStyle w:val="5"/>
        <w:tblW w:w="9208"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350"/>
        <w:gridCol w:w="5597"/>
        <w:gridCol w:w="784"/>
        <w:gridCol w:w="716"/>
      </w:tblGrid>
      <w:tr w14:paraId="0999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61" w:type="dxa"/>
            <w:vAlign w:val="center"/>
          </w:tcPr>
          <w:p w14:paraId="196AD73D">
            <w:pPr>
              <w:jc w:val="center"/>
              <w:rPr>
                <w:b/>
                <w:bCs/>
                <w:sz w:val="24"/>
                <w:szCs w:val="24"/>
              </w:rPr>
            </w:pPr>
            <w:r>
              <w:rPr>
                <w:rFonts w:hint="eastAsia"/>
                <w:b/>
                <w:bCs/>
                <w:sz w:val="24"/>
                <w:szCs w:val="24"/>
              </w:rPr>
              <w:t>序号</w:t>
            </w:r>
          </w:p>
        </w:tc>
        <w:tc>
          <w:tcPr>
            <w:tcW w:w="1350" w:type="dxa"/>
            <w:vAlign w:val="center"/>
          </w:tcPr>
          <w:p w14:paraId="711E8F9A">
            <w:pPr>
              <w:jc w:val="center"/>
              <w:rPr>
                <w:b/>
                <w:bCs/>
                <w:sz w:val="24"/>
                <w:szCs w:val="24"/>
              </w:rPr>
            </w:pPr>
            <w:r>
              <w:rPr>
                <w:rFonts w:hint="eastAsia"/>
                <w:b/>
                <w:bCs/>
                <w:sz w:val="24"/>
                <w:szCs w:val="24"/>
              </w:rPr>
              <w:t>设备名称</w:t>
            </w:r>
          </w:p>
        </w:tc>
        <w:tc>
          <w:tcPr>
            <w:tcW w:w="5597" w:type="dxa"/>
            <w:vAlign w:val="center"/>
          </w:tcPr>
          <w:p w14:paraId="57E5B397">
            <w:pPr>
              <w:jc w:val="center"/>
              <w:rPr>
                <w:rFonts w:hint="eastAsia" w:eastAsiaTheme="minorEastAsia"/>
                <w:b/>
                <w:bCs/>
                <w:sz w:val="24"/>
                <w:szCs w:val="24"/>
                <w:lang w:val="en-US" w:eastAsia="zh-CN"/>
              </w:rPr>
            </w:pPr>
            <w:r>
              <w:rPr>
                <w:rFonts w:hint="eastAsia"/>
                <w:b/>
                <w:bCs/>
                <w:sz w:val="24"/>
                <w:szCs w:val="24"/>
              </w:rPr>
              <w:t>技术</w:t>
            </w:r>
            <w:r>
              <w:rPr>
                <w:rFonts w:hint="eastAsia"/>
                <w:b/>
                <w:bCs/>
                <w:sz w:val="24"/>
                <w:szCs w:val="24"/>
                <w:lang w:val="en-US" w:eastAsia="zh-CN"/>
              </w:rPr>
              <w:t>要求</w:t>
            </w:r>
          </w:p>
        </w:tc>
        <w:tc>
          <w:tcPr>
            <w:tcW w:w="784" w:type="dxa"/>
            <w:vAlign w:val="center"/>
          </w:tcPr>
          <w:p w14:paraId="2D09C2D4">
            <w:pPr>
              <w:jc w:val="center"/>
              <w:rPr>
                <w:b/>
                <w:bCs/>
                <w:sz w:val="24"/>
                <w:szCs w:val="24"/>
              </w:rPr>
            </w:pPr>
            <w:r>
              <w:rPr>
                <w:rFonts w:hint="eastAsia"/>
                <w:b/>
                <w:bCs/>
                <w:sz w:val="24"/>
                <w:szCs w:val="24"/>
              </w:rPr>
              <w:t>数量</w:t>
            </w:r>
          </w:p>
        </w:tc>
        <w:tc>
          <w:tcPr>
            <w:tcW w:w="716" w:type="dxa"/>
            <w:vAlign w:val="center"/>
          </w:tcPr>
          <w:p w14:paraId="56B37F1A">
            <w:pPr>
              <w:jc w:val="center"/>
              <w:rPr>
                <w:b/>
                <w:bCs/>
                <w:sz w:val="24"/>
                <w:szCs w:val="24"/>
              </w:rPr>
            </w:pPr>
            <w:r>
              <w:rPr>
                <w:rFonts w:hint="eastAsia"/>
                <w:b/>
                <w:bCs/>
                <w:sz w:val="24"/>
                <w:szCs w:val="24"/>
              </w:rPr>
              <w:t>单位</w:t>
            </w:r>
          </w:p>
        </w:tc>
      </w:tr>
      <w:tr w14:paraId="23FE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61" w:type="dxa"/>
            <w:vAlign w:val="center"/>
          </w:tcPr>
          <w:p w14:paraId="79713317">
            <w:pPr>
              <w:jc w:val="center"/>
              <w:rPr>
                <w:sz w:val="24"/>
                <w:szCs w:val="24"/>
              </w:rPr>
            </w:pPr>
            <w:r>
              <w:rPr>
                <w:rFonts w:hint="eastAsia"/>
                <w:sz w:val="24"/>
                <w:szCs w:val="24"/>
              </w:rPr>
              <w:t>1</w:t>
            </w:r>
          </w:p>
        </w:tc>
        <w:tc>
          <w:tcPr>
            <w:tcW w:w="1350" w:type="dxa"/>
            <w:vAlign w:val="center"/>
          </w:tcPr>
          <w:p w14:paraId="7956630B">
            <w:pPr>
              <w:jc w:val="center"/>
              <w:rPr>
                <w:b/>
                <w:bCs/>
                <w:sz w:val="24"/>
                <w:szCs w:val="24"/>
              </w:rPr>
            </w:pPr>
            <w:r>
              <w:rPr>
                <w:rFonts w:hint="eastAsia"/>
                <w:b/>
                <w:bCs/>
                <w:sz w:val="24"/>
                <w:szCs w:val="24"/>
              </w:rPr>
              <w:t>集中存储</w:t>
            </w:r>
          </w:p>
        </w:tc>
        <w:tc>
          <w:tcPr>
            <w:tcW w:w="5597" w:type="dxa"/>
            <w:vAlign w:val="center"/>
          </w:tcPr>
          <w:p w14:paraId="481D8A73">
            <w:pPr>
              <w:jc w:val="left"/>
              <w:rPr>
                <w:sz w:val="24"/>
                <w:szCs w:val="24"/>
              </w:rPr>
            </w:pPr>
            <w:r>
              <w:rPr>
                <w:rFonts w:hint="eastAsia"/>
                <w:sz w:val="24"/>
                <w:szCs w:val="24"/>
              </w:rPr>
              <w:t>1、国有品牌，自主研发，非OEM产品；</w:t>
            </w:r>
          </w:p>
          <w:p w14:paraId="4FACE05D">
            <w:pPr>
              <w:jc w:val="left"/>
              <w:rPr>
                <w:sz w:val="24"/>
                <w:szCs w:val="24"/>
              </w:rPr>
            </w:pPr>
            <w:r>
              <w:rPr>
                <w:rFonts w:hint="eastAsia"/>
                <w:sz w:val="24"/>
                <w:szCs w:val="24"/>
              </w:rPr>
              <w:t>2、存储性能：为保证后续存储具有良好的性能，存储通过权威第三方 SPC-1 测试， 8 控≥270 万 IOPS，平均单控＞ 33 万 IOPS，并要求提供第三方性能测试报告；</w:t>
            </w:r>
          </w:p>
          <w:p w14:paraId="7A49688D">
            <w:pPr>
              <w:jc w:val="left"/>
              <w:rPr>
                <w:sz w:val="24"/>
                <w:szCs w:val="24"/>
              </w:rPr>
            </w:pPr>
            <w:r>
              <w:rPr>
                <w:rFonts w:hint="eastAsia"/>
                <w:sz w:val="24"/>
                <w:szCs w:val="24"/>
              </w:rPr>
              <w:t>3、本次配置控制器数量≥2，每个控制器中的存储处理器采用X86架构；</w:t>
            </w:r>
          </w:p>
          <w:p w14:paraId="5205088D">
            <w:pPr>
              <w:jc w:val="left"/>
              <w:rPr>
                <w:sz w:val="24"/>
                <w:szCs w:val="24"/>
              </w:rPr>
            </w:pPr>
            <w:r>
              <w:rPr>
                <w:rFonts w:hint="eastAsia"/>
                <w:sz w:val="24"/>
                <w:szCs w:val="24"/>
              </w:rPr>
              <w:t>4、缓存：本次双控配置高速缓存≥256GB（缓存不包含SSD磁盘、PCI-E SSD、闪存、压缩或重删缓存和NAS控制器缓存）；</w:t>
            </w:r>
          </w:p>
          <w:p w14:paraId="09912CF6">
            <w:pPr>
              <w:jc w:val="left"/>
              <w:rPr>
                <w:sz w:val="24"/>
                <w:szCs w:val="24"/>
              </w:rPr>
            </w:pPr>
            <w:bookmarkStart w:id="1" w:name="_GoBack"/>
            <w:bookmarkEnd w:id="1"/>
            <w:r>
              <w:rPr>
                <w:rFonts w:hint="eastAsia"/>
                <w:sz w:val="24"/>
                <w:szCs w:val="24"/>
              </w:rPr>
              <w:t>5、配置缓存保护功能，并配置BBU电池保护模组，支持2次备电，保证掉电时Cache数据可安全写入Flash或硬盘永久保存，可以支撑2次以上的数据备份时间，实现无限时断电保护Cache数据的目的，要求提供原理说明文件；</w:t>
            </w:r>
          </w:p>
          <w:p w14:paraId="73816FE3">
            <w:pPr>
              <w:jc w:val="left"/>
              <w:rPr>
                <w:sz w:val="24"/>
                <w:szCs w:val="24"/>
              </w:rPr>
            </w:pPr>
            <w:r>
              <w:rPr>
                <w:rFonts w:hint="eastAsia"/>
                <w:sz w:val="24"/>
                <w:szCs w:val="24"/>
              </w:rPr>
              <w:t>6、主机接口：配置≥8个1G电口，≥8个16Gb FC接口（满配多模光模块）；</w:t>
            </w:r>
          </w:p>
          <w:p w14:paraId="52065DF6">
            <w:pPr>
              <w:jc w:val="left"/>
              <w:rPr>
                <w:rFonts w:hint="eastAsia"/>
                <w:sz w:val="24"/>
                <w:szCs w:val="24"/>
              </w:rPr>
            </w:pPr>
            <w:r>
              <w:rPr>
                <w:rFonts w:hint="eastAsia"/>
                <w:sz w:val="24"/>
                <w:szCs w:val="24"/>
              </w:rPr>
              <w:t>7、硬盘：为便于后续扩容，要求本次整体硬盘扩展槽位≥48个，配置≥5块3.84T SAS SSD，≥9块10T 7.2k SAS HDD；支持≥3种规格扩展柜，空间密度≥每U16块硬盘；</w:t>
            </w:r>
          </w:p>
          <w:p w14:paraId="5EACEE9B">
            <w:pPr>
              <w:jc w:val="left"/>
              <w:rPr>
                <w:sz w:val="24"/>
                <w:szCs w:val="24"/>
              </w:rPr>
            </w:pPr>
            <w:r>
              <w:rPr>
                <w:rFonts w:hint="eastAsia"/>
                <w:sz w:val="24"/>
                <w:szCs w:val="24"/>
              </w:rPr>
              <w:t>8、配置全容量许可精简功能，实现存储空间超分配，精简粒度32K、64K、128K、256K可调节，支持创建单个卷最大256TB，后续扩容无需额外购买许可；</w:t>
            </w:r>
          </w:p>
          <w:p w14:paraId="7488FE76">
            <w:pPr>
              <w:jc w:val="left"/>
              <w:rPr>
                <w:sz w:val="24"/>
                <w:szCs w:val="24"/>
              </w:rPr>
            </w:pPr>
            <w:r>
              <w:rPr>
                <w:rFonts w:hint="eastAsia"/>
                <w:sz w:val="24"/>
                <w:szCs w:val="24"/>
              </w:rPr>
              <w:t>9、配置全容量许可的克隆功能，对源卷进行完全精准拷贝，可指定拷贝速度，后续扩容无需额外购买许可；</w:t>
            </w:r>
            <w:r>
              <w:rPr>
                <w:rFonts w:hint="eastAsia"/>
                <w:sz w:val="24"/>
                <w:szCs w:val="24"/>
              </w:rPr>
              <w:br w:type="textWrapping"/>
            </w:r>
            <w:r>
              <w:rPr>
                <w:rFonts w:hint="eastAsia"/>
                <w:sz w:val="24"/>
                <w:szCs w:val="24"/>
              </w:rPr>
              <w:t>10、</w:t>
            </w:r>
            <w:r>
              <w:rPr>
                <w:rFonts w:hint="eastAsia"/>
                <w:bCs/>
                <w:sz w:val="24"/>
                <w:szCs w:val="24"/>
              </w:rPr>
              <w:t>要求与现有存储集群（品牌：浪潮，型号：</w:t>
            </w:r>
            <w:r>
              <w:rPr>
                <w:bCs/>
                <w:sz w:val="24"/>
                <w:szCs w:val="24"/>
              </w:rPr>
              <w:t>AS5300G5</w:t>
            </w:r>
            <w:r>
              <w:rPr>
                <w:rFonts w:hint="eastAsia"/>
                <w:bCs/>
                <w:sz w:val="24"/>
                <w:szCs w:val="24"/>
              </w:rPr>
              <w:t>）实现统一纳管，与现有虚拟化集群充分兼容，提供承诺函；</w:t>
            </w:r>
          </w:p>
          <w:p w14:paraId="2FE1E4DF">
            <w:pPr>
              <w:jc w:val="left"/>
              <w:rPr>
                <w:sz w:val="24"/>
                <w:szCs w:val="24"/>
              </w:rPr>
            </w:pPr>
            <w:r>
              <w:rPr>
                <w:rFonts w:hint="eastAsia"/>
                <w:sz w:val="24"/>
                <w:szCs w:val="24"/>
              </w:rPr>
              <w:t>11、要求供应产品支持全面的企业级容灾功能，至少必须包含同步、异步周期和具有变更卷的异步复制三种主流模式用以应对不同的容灾环境；</w:t>
            </w:r>
          </w:p>
          <w:p w14:paraId="5FE3C639">
            <w:pPr>
              <w:jc w:val="left"/>
              <w:rPr>
                <w:sz w:val="24"/>
                <w:szCs w:val="24"/>
              </w:rPr>
            </w:pPr>
            <w:r>
              <w:rPr>
                <w:rFonts w:hint="eastAsia"/>
                <w:sz w:val="24"/>
                <w:szCs w:val="24"/>
              </w:rPr>
              <w:t>12、为保障信息安全，并有效地降低用户隐私安全风险，要求设备制造商已经对信息安全、数据合规、隐私信息管理建立了安全控制措施，提供合规性证明ISO27001信息安全管理体系和ISO27701隐私信息管理体系双认证证书。</w:t>
            </w:r>
          </w:p>
          <w:p w14:paraId="4CB28D33">
            <w:pPr>
              <w:jc w:val="left"/>
              <w:rPr>
                <w:sz w:val="24"/>
                <w:szCs w:val="24"/>
              </w:rPr>
            </w:pPr>
            <w:r>
              <w:rPr>
                <w:rFonts w:hint="eastAsia"/>
                <w:sz w:val="24"/>
                <w:szCs w:val="24"/>
              </w:rPr>
              <w:t>13、为保证存储设备生产、检测和仓储管理标准化，减少静电放电对设备的不良影响，提高产品质量和可靠性，设备制造商应通过静电防护的标准认证ANSI/ESD S20.20和IEC61340-5-1两项认证标准，要求提供认证证书；</w:t>
            </w:r>
          </w:p>
          <w:p w14:paraId="4752F56B">
            <w:pPr>
              <w:jc w:val="left"/>
              <w:rPr>
                <w:sz w:val="24"/>
                <w:szCs w:val="24"/>
              </w:rPr>
            </w:pPr>
            <w:r>
              <w:rPr>
                <w:rFonts w:hint="eastAsia"/>
                <w:sz w:val="24"/>
                <w:szCs w:val="24"/>
              </w:rPr>
              <w:t>14、要求设备制造商提供国家信息安全漏洞库CNNVD技术支撑单位等级证书，要求提供证明材料；</w:t>
            </w:r>
          </w:p>
          <w:p w14:paraId="3BA69239">
            <w:pPr>
              <w:jc w:val="left"/>
              <w:rPr>
                <w:sz w:val="24"/>
                <w:szCs w:val="24"/>
              </w:rPr>
            </w:pPr>
            <w:r>
              <w:rPr>
                <w:rFonts w:hint="eastAsia"/>
                <w:sz w:val="24"/>
                <w:szCs w:val="24"/>
              </w:rPr>
              <w:t>15、提供3年原厂质保，原厂安装调试服务，本次项目所涉及的功能授权为一次性永久授权，后续不再单独收取授权费用。</w:t>
            </w:r>
          </w:p>
        </w:tc>
        <w:tc>
          <w:tcPr>
            <w:tcW w:w="784" w:type="dxa"/>
            <w:vAlign w:val="center"/>
          </w:tcPr>
          <w:p w14:paraId="6D22A29C">
            <w:pPr>
              <w:jc w:val="center"/>
              <w:rPr>
                <w:sz w:val="24"/>
                <w:szCs w:val="24"/>
              </w:rPr>
            </w:pPr>
            <w:r>
              <w:rPr>
                <w:rFonts w:hint="eastAsia"/>
                <w:sz w:val="24"/>
                <w:szCs w:val="24"/>
              </w:rPr>
              <w:t>1</w:t>
            </w:r>
          </w:p>
        </w:tc>
        <w:tc>
          <w:tcPr>
            <w:tcW w:w="716" w:type="dxa"/>
            <w:vAlign w:val="center"/>
          </w:tcPr>
          <w:p w14:paraId="0A27A322">
            <w:pPr>
              <w:jc w:val="center"/>
              <w:rPr>
                <w:sz w:val="24"/>
                <w:szCs w:val="24"/>
              </w:rPr>
            </w:pPr>
            <w:r>
              <w:rPr>
                <w:rFonts w:hint="eastAsia"/>
                <w:sz w:val="24"/>
                <w:szCs w:val="24"/>
              </w:rPr>
              <w:t>套</w:t>
            </w:r>
          </w:p>
        </w:tc>
      </w:tr>
      <w:tr w14:paraId="5876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61" w:type="dxa"/>
            <w:vAlign w:val="center"/>
          </w:tcPr>
          <w:p w14:paraId="3E519F11">
            <w:pPr>
              <w:jc w:val="center"/>
              <w:rPr>
                <w:sz w:val="24"/>
                <w:szCs w:val="24"/>
              </w:rPr>
            </w:pPr>
            <w:r>
              <w:rPr>
                <w:rFonts w:hint="eastAsia"/>
                <w:sz w:val="24"/>
                <w:szCs w:val="24"/>
              </w:rPr>
              <w:t>2</w:t>
            </w:r>
          </w:p>
        </w:tc>
        <w:tc>
          <w:tcPr>
            <w:tcW w:w="1350" w:type="dxa"/>
            <w:vAlign w:val="center"/>
          </w:tcPr>
          <w:p w14:paraId="6314130F">
            <w:pPr>
              <w:jc w:val="center"/>
              <w:rPr>
                <w:b/>
                <w:bCs/>
                <w:sz w:val="24"/>
                <w:szCs w:val="24"/>
              </w:rPr>
            </w:pPr>
            <w:r>
              <w:rPr>
                <w:rFonts w:hint="eastAsia"/>
                <w:b/>
                <w:bCs/>
                <w:sz w:val="24"/>
                <w:szCs w:val="24"/>
              </w:rPr>
              <w:t>虚拟化服务器</w:t>
            </w:r>
          </w:p>
        </w:tc>
        <w:tc>
          <w:tcPr>
            <w:tcW w:w="5597" w:type="dxa"/>
            <w:vAlign w:val="center"/>
          </w:tcPr>
          <w:p w14:paraId="3A0EB8DD">
            <w:pPr>
              <w:jc w:val="left"/>
              <w:rPr>
                <w:sz w:val="24"/>
                <w:szCs w:val="24"/>
              </w:rPr>
            </w:pPr>
            <w:r>
              <w:rPr>
                <w:rFonts w:hint="eastAsia"/>
                <w:sz w:val="24"/>
                <w:szCs w:val="24"/>
              </w:rPr>
              <w:t>1、规格：2U机架式，国有品牌，自主研发，非OEM产品；</w:t>
            </w:r>
          </w:p>
          <w:p w14:paraId="7B11F633">
            <w:pPr>
              <w:jc w:val="left"/>
              <w:rPr>
                <w:sz w:val="24"/>
                <w:szCs w:val="24"/>
              </w:rPr>
            </w:pPr>
            <w:r>
              <w:rPr>
                <w:rFonts w:hint="eastAsia"/>
                <w:sz w:val="24"/>
                <w:szCs w:val="24"/>
              </w:rPr>
              <w:t>2、处理器：支持Intel® Xeon®第三代可扩展Cooper Lake系列处理器，最大支持4颗处理器，本次配置4颗Intel® Xeon处理器，单颗处理器主频≥2.5GHz，处理器核数≥18核；</w:t>
            </w:r>
          </w:p>
          <w:p w14:paraId="17AEABAA">
            <w:pPr>
              <w:jc w:val="left"/>
              <w:rPr>
                <w:sz w:val="24"/>
                <w:szCs w:val="24"/>
              </w:rPr>
            </w:pPr>
            <w:r>
              <w:rPr>
                <w:rFonts w:hint="eastAsia"/>
                <w:sz w:val="24"/>
                <w:szCs w:val="24"/>
              </w:rPr>
              <w:t>3、内存：本次配置≥1024GB内存，配置≥48个内存插槽，可扩展至18TB；最大支持3200MHz工作频率；</w:t>
            </w:r>
          </w:p>
          <w:p w14:paraId="70B9CEA0">
            <w:pPr>
              <w:jc w:val="left"/>
              <w:rPr>
                <w:sz w:val="24"/>
                <w:szCs w:val="24"/>
              </w:rPr>
            </w:pPr>
            <w:r>
              <w:rPr>
                <w:rFonts w:hint="eastAsia"/>
                <w:sz w:val="24"/>
                <w:szCs w:val="24"/>
              </w:rPr>
              <w:t>4、硬盘：本次配置≥2块480G SSD；最大支持25块2.5”硬盘，可选支持24块NVMe SSD；</w:t>
            </w:r>
          </w:p>
          <w:p w14:paraId="6958D4B9">
            <w:pPr>
              <w:jc w:val="left"/>
              <w:rPr>
                <w:sz w:val="24"/>
                <w:szCs w:val="24"/>
              </w:rPr>
            </w:pPr>
            <w:r>
              <w:rPr>
                <w:rFonts w:hint="eastAsia"/>
                <w:sz w:val="24"/>
                <w:szCs w:val="24"/>
              </w:rPr>
              <w:t>5、RAID：配置一块八通道高性能RAID卡，≥2GB缓存，可支持raid 0/1/5/6/10，支持断电保护模块；</w:t>
            </w:r>
          </w:p>
          <w:p w14:paraId="185945BE">
            <w:pPr>
              <w:jc w:val="left"/>
              <w:rPr>
                <w:sz w:val="24"/>
                <w:szCs w:val="24"/>
              </w:rPr>
            </w:pPr>
            <w:r>
              <w:rPr>
                <w:rFonts w:hint="eastAsia"/>
                <w:sz w:val="24"/>
                <w:szCs w:val="24"/>
              </w:rPr>
              <w:t>6、HBA卡：配置≥1块双口16G FC HBA卡；</w:t>
            </w:r>
          </w:p>
          <w:p w14:paraId="75D1692C">
            <w:pPr>
              <w:jc w:val="left"/>
              <w:rPr>
                <w:sz w:val="24"/>
                <w:szCs w:val="24"/>
              </w:rPr>
            </w:pPr>
            <w:r>
              <w:rPr>
                <w:rFonts w:hint="eastAsia"/>
                <w:sz w:val="24"/>
                <w:szCs w:val="24"/>
              </w:rPr>
              <w:t>7、网络接口：本次配置≥4个千兆网口，≥6个万兆网口（含光模块），支持OCP网络模块，支持1Gb/10Gb/25Gb/100Gb+速率；</w:t>
            </w:r>
          </w:p>
          <w:p w14:paraId="383E56B8">
            <w:pPr>
              <w:jc w:val="left"/>
              <w:rPr>
                <w:sz w:val="24"/>
                <w:szCs w:val="24"/>
              </w:rPr>
            </w:pPr>
            <w:r>
              <w:rPr>
                <w:rFonts w:hint="eastAsia"/>
                <w:sz w:val="24"/>
                <w:szCs w:val="24"/>
              </w:rPr>
              <w:t>8、I/O扩展槽：最大支持≥12个PCIE插槽，以及1个OCP3.0卡插槽；</w:t>
            </w:r>
          </w:p>
          <w:p w14:paraId="36E5F6FA">
            <w:pPr>
              <w:jc w:val="left"/>
              <w:rPr>
                <w:sz w:val="24"/>
                <w:szCs w:val="24"/>
              </w:rPr>
            </w:pPr>
            <w:r>
              <w:rPr>
                <w:rFonts w:hint="eastAsia"/>
                <w:sz w:val="24"/>
                <w:szCs w:val="24"/>
              </w:rPr>
              <w:t>9、电源模块：配置≥2块1600W热插拔冗余电源，50%负载下转换效率不低于96%，需提供电源模块80PLUS认证报告；</w:t>
            </w:r>
          </w:p>
          <w:p w14:paraId="6788902C">
            <w:pPr>
              <w:jc w:val="left"/>
              <w:rPr>
                <w:sz w:val="24"/>
                <w:szCs w:val="24"/>
              </w:rPr>
            </w:pPr>
            <w:r>
              <w:rPr>
                <w:rFonts w:hint="eastAsia"/>
                <w:sz w:val="24"/>
                <w:szCs w:val="24"/>
              </w:rPr>
              <w:t>10、散热：风扇支持N+1冗余；</w:t>
            </w:r>
          </w:p>
          <w:p w14:paraId="5959638F">
            <w:pPr>
              <w:jc w:val="left"/>
              <w:rPr>
                <w:sz w:val="24"/>
                <w:szCs w:val="24"/>
              </w:rPr>
            </w:pPr>
            <w:r>
              <w:rPr>
                <w:rFonts w:hint="eastAsia"/>
                <w:sz w:val="24"/>
                <w:szCs w:val="24"/>
              </w:rPr>
              <w:t>11、预装国产服务器操作系统，需提供软件著作权证书；</w:t>
            </w:r>
          </w:p>
          <w:p w14:paraId="62195124">
            <w:pPr>
              <w:jc w:val="left"/>
              <w:rPr>
                <w:sz w:val="24"/>
                <w:szCs w:val="24"/>
              </w:rPr>
            </w:pPr>
            <w:r>
              <w:rPr>
                <w:rFonts w:hint="eastAsia"/>
                <w:sz w:val="24"/>
                <w:szCs w:val="24"/>
              </w:rPr>
              <w:t>12、管理：配置服务器管理软件，需与原有管理平台无缝兼容，提供软件著作权证书及承诺函；支持服务器全方位性能监控 ，包括CPU 利用率、CPU温度、内存使用率、SWAP使用率，内存及SWAP使用明细；TCP重传率及套接字个数；UDP连接数；文件句柄使用率及文件句柄数；硬盘读写次数及读写时速率；出入风口温度；风扇转速及风扇转速比；分区使用率及分区未使用量；网络发送速率、接收速率等，微架构 单精度及双精度浮点运算、PCIe设备读写速率等，运行时长、系统进程数等；</w:t>
            </w:r>
          </w:p>
          <w:p w14:paraId="66BFE188">
            <w:pPr>
              <w:jc w:val="left"/>
              <w:rPr>
                <w:sz w:val="24"/>
                <w:szCs w:val="24"/>
              </w:rPr>
            </w:pPr>
            <w:r>
              <w:rPr>
                <w:rFonts w:hint="eastAsia"/>
                <w:sz w:val="24"/>
                <w:szCs w:val="24"/>
              </w:rPr>
              <w:t>13、兼容性要求：为保障虚拟化集群的兼容性、稳定性，要求服务器与虚拟化软件为同一品牌；</w:t>
            </w:r>
          </w:p>
          <w:p w14:paraId="310D4FA5">
            <w:pPr>
              <w:jc w:val="left"/>
              <w:rPr>
                <w:sz w:val="24"/>
                <w:szCs w:val="24"/>
              </w:rPr>
            </w:pPr>
            <w:r>
              <w:rPr>
                <w:sz w:val="24"/>
                <w:szCs w:val="24"/>
              </w:rPr>
              <w:t>14</w:t>
            </w:r>
            <w:r>
              <w:rPr>
                <w:rFonts w:hint="eastAsia"/>
                <w:sz w:val="24"/>
                <w:szCs w:val="24"/>
              </w:rPr>
              <w:t>、为保障信息安全，并有效地降低用户隐私安全风险，要求设备厂商提供</w:t>
            </w:r>
            <w:r>
              <w:rPr>
                <w:sz w:val="24"/>
                <w:szCs w:val="24"/>
              </w:rPr>
              <w:t>ISO27001</w:t>
            </w:r>
            <w:r>
              <w:rPr>
                <w:rFonts w:hint="eastAsia"/>
                <w:sz w:val="24"/>
                <w:szCs w:val="24"/>
              </w:rPr>
              <w:t>信息安全管理体系认证、服务器领域</w:t>
            </w:r>
            <w:r>
              <w:rPr>
                <w:sz w:val="24"/>
                <w:szCs w:val="24"/>
              </w:rPr>
              <w:t>ISO27701</w:t>
            </w:r>
            <w:r>
              <w:rPr>
                <w:rFonts w:hint="eastAsia"/>
                <w:sz w:val="24"/>
                <w:szCs w:val="24"/>
              </w:rPr>
              <w:t>隐私信息管理体系认证，以上认证需提供认证证书扫描件；同时，要求服务器带外管理模块通过中国网络安全审查技术与认证中心出具的安全认证</w:t>
            </w:r>
            <w:r>
              <w:rPr>
                <w:sz w:val="24"/>
                <w:szCs w:val="24"/>
              </w:rPr>
              <w:t xml:space="preserve"> </w:t>
            </w:r>
            <w:r>
              <w:rPr>
                <w:rFonts w:hint="eastAsia"/>
                <w:sz w:val="24"/>
                <w:szCs w:val="24"/>
              </w:rPr>
              <w:t>，以上认证需提供认证证书扫描件；</w:t>
            </w:r>
          </w:p>
          <w:p w14:paraId="18C45940">
            <w:pPr>
              <w:jc w:val="left"/>
              <w:rPr>
                <w:sz w:val="24"/>
                <w:szCs w:val="24"/>
              </w:rPr>
            </w:pPr>
            <w:r>
              <w:rPr>
                <w:rFonts w:hint="eastAsia"/>
                <w:sz w:val="24"/>
                <w:szCs w:val="24"/>
              </w:rPr>
              <w:t>15、服务：提供三年原厂质保，原厂安装调试服务，本次项目所涉及的功能授权为一次性永久授权，后续不再单独收取授权费用。</w:t>
            </w:r>
          </w:p>
        </w:tc>
        <w:tc>
          <w:tcPr>
            <w:tcW w:w="784" w:type="dxa"/>
            <w:vAlign w:val="center"/>
          </w:tcPr>
          <w:p w14:paraId="7F0A8A4F">
            <w:pPr>
              <w:jc w:val="center"/>
              <w:rPr>
                <w:sz w:val="24"/>
                <w:szCs w:val="24"/>
              </w:rPr>
            </w:pPr>
            <w:r>
              <w:rPr>
                <w:rFonts w:hint="eastAsia"/>
                <w:sz w:val="24"/>
                <w:szCs w:val="24"/>
              </w:rPr>
              <w:t>2</w:t>
            </w:r>
          </w:p>
        </w:tc>
        <w:tc>
          <w:tcPr>
            <w:tcW w:w="716" w:type="dxa"/>
            <w:vAlign w:val="center"/>
          </w:tcPr>
          <w:p w14:paraId="0EB48EE1">
            <w:pPr>
              <w:jc w:val="center"/>
              <w:rPr>
                <w:sz w:val="24"/>
                <w:szCs w:val="24"/>
              </w:rPr>
            </w:pPr>
            <w:r>
              <w:rPr>
                <w:rFonts w:hint="eastAsia"/>
                <w:sz w:val="24"/>
                <w:szCs w:val="24"/>
              </w:rPr>
              <w:t>套</w:t>
            </w:r>
          </w:p>
        </w:tc>
      </w:tr>
      <w:tr w14:paraId="4F65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61" w:type="dxa"/>
            <w:vAlign w:val="center"/>
          </w:tcPr>
          <w:p w14:paraId="0CF7F04A">
            <w:pPr>
              <w:jc w:val="center"/>
              <w:rPr>
                <w:sz w:val="24"/>
                <w:szCs w:val="24"/>
              </w:rPr>
            </w:pPr>
            <w:r>
              <w:rPr>
                <w:rFonts w:hint="eastAsia"/>
                <w:sz w:val="24"/>
                <w:szCs w:val="24"/>
              </w:rPr>
              <w:t>3</w:t>
            </w:r>
          </w:p>
        </w:tc>
        <w:tc>
          <w:tcPr>
            <w:tcW w:w="1350" w:type="dxa"/>
            <w:vAlign w:val="center"/>
          </w:tcPr>
          <w:p w14:paraId="7EFB1A03">
            <w:pPr>
              <w:jc w:val="center"/>
              <w:rPr>
                <w:b/>
                <w:bCs/>
                <w:sz w:val="24"/>
                <w:szCs w:val="24"/>
              </w:rPr>
            </w:pPr>
            <w:r>
              <w:rPr>
                <w:rFonts w:hint="eastAsia"/>
                <w:b/>
                <w:bCs/>
                <w:sz w:val="24"/>
                <w:szCs w:val="24"/>
              </w:rPr>
              <w:t>存储交换机扩容（含光模块）</w:t>
            </w:r>
          </w:p>
        </w:tc>
        <w:tc>
          <w:tcPr>
            <w:tcW w:w="5597" w:type="dxa"/>
            <w:vAlign w:val="center"/>
          </w:tcPr>
          <w:p w14:paraId="08866AE1">
            <w:pPr>
              <w:jc w:val="left"/>
              <w:rPr>
                <w:sz w:val="24"/>
                <w:szCs w:val="24"/>
              </w:rPr>
            </w:pPr>
            <w:r>
              <w:rPr>
                <w:rFonts w:hint="eastAsia"/>
                <w:sz w:val="24"/>
                <w:szCs w:val="24"/>
              </w:rPr>
              <w:t>1、光纤交换机12个端口激活授权，含12个16G SFP多模模块，</w:t>
            </w:r>
            <w:r>
              <w:rPr>
                <w:rFonts w:hint="eastAsia"/>
                <w:bCs/>
                <w:sz w:val="24"/>
                <w:szCs w:val="24"/>
              </w:rPr>
              <w:t>用于激活现有的浪潮FS6700交换机，提供兼容性承诺函；</w:t>
            </w:r>
          </w:p>
          <w:p w14:paraId="606316C5">
            <w:pPr>
              <w:jc w:val="left"/>
              <w:rPr>
                <w:sz w:val="24"/>
                <w:szCs w:val="24"/>
              </w:rPr>
            </w:pPr>
            <w:r>
              <w:rPr>
                <w:rFonts w:hint="eastAsia"/>
                <w:sz w:val="24"/>
                <w:szCs w:val="24"/>
              </w:rPr>
              <w:t>2、服务：提供扩容实施服务；提供三年质保和免费上门服务。</w:t>
            </w:r>
          </w:p>
        </w:tc>
        <w:tc>
          <w:tcPr>
            <w:tcW w:w="784" w:type="dxa"/>
            <w:vAlign w:val="center"/>
          </w:tcPr>
          <w:p w14:paraId="3F95FA5D">
            <w:pPr>
              <w:jc w:val="center"/>
              <w:rPr>
                <w:sz w:val="24"/>
                <w:szCs w:val="24"/>
              </w:rPr>
            </w:pPr>
            <w:r>
              <w:rPr>
                <w:rFonts w:hint="eastAsia"/>
                <w:sz w:val="24"/>
                <w:szCs w:val="24"/>
              </w:rPr>
              <w:t>2</w:t>
            </w:r>
          </w:p>
        </w:tc>
        <w:tc>
          <w:tcPr>
            <w:tcW w:w="716" w:type="dxa"/>
            <w:vAlign w:val="center"/>
          </w:tcPr>
          <w:p w14:paraId="6AB6FFE9">
            <w:pPr>
              <w:jc w:val="center"/>
              <w:rPr>
                <w:sz w:val="24"/>
                <w:szCs w:val="24"/>
              </w:rPr>
            </w:pPr>
            <w:r>
              <w:rPr>
                <w:rFonts w:hint="eastAsia"/>
                <w:sz w:val="24"/>
                <w:szCs w:val="24"/>
              </w:rPr>
              <w:t>套</w:t>
            </w:r>
          </w:p>
        </w:tc>
      </w:tr>
      <w:tr w14:paraId="5457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761" w:type="dxa"/>
            <w:vAlign w:val="center"/>
          </w:tcPr>
          <w:p w14:paraId="5BA27D36">
            <w:pPr>
              <w:jc w:val="center"/>
              <w:rPr>
                <w:sz w:val="24"/>
                <w:szCs w:val="24"/>
              </w:rPr>
            </w:pPr>
            <w:r>
              <w:rPr>
                <w:rFonts w:hint="eastAsia"/>
                <w:sz w:val="24"/>
                <w:szCs w:val="24"/>
              </w:rPr>
              <w:t>4</w:t>
            </w:r>
          </w:p>
        </w:tc>
        <w:tc>
          <w:tcPr>
            <w:tcW w:w="1350" w:type="dxa"/>
            <w:vAlign w:val="center"/>
          </w:tcPr>
          <w:p w14:paraId="44FA0AF3">
            <w:pPr>
              <w:jc w:val="center"/>
              <w:rPr>
                <w:b/>
                <w:bCs/>
                <w:sz w:val="24"/>
                <w:szCs w:val="24"/>
              </w:rPr>
            </w:pPr>
            <w:r>
              <w:rPr>
                <w:rFonts w:hint="eastAsia"/>
                <w:b/>
                <w:bCs/>
                <w:sz w:val="24"/>
                <w:szCs w:val="24"/>
              </w:rPr>
              <w:t>虚拟化软件</w:t>
            </w:r>
          </w:p>
        </w:tc>
        <w:tc>
          <w:tcPr>
            <w:tcW w:w="5597" w:type="dxa"/>
            <w:vAlign w:val="center"/>
          </w:tcPr>
          <w:p w14:paraId="38FDC28A">
            <w:pPr>
              <w:jc w:val="left"/>
              <w:rPr>
                <w:sz w:val="24"/>
                <w:szCs w:val="24"/>
              </w:rPr>
            </w:pPr>
            <w:r>
              <w:rPr>
                <w:rFonts w:hint="eastAsia"/>
                <w:sz w:val="24"/>
                <w:szCs w:val="24"/>
              </w:rPr>
              <w:t>一、虚拟化管理软件</w:t>
            </w:r>
          </w:p>
          <w:p w14:paraId="4A1018BF">
            <w:pPr>
              <w:jc w:val="left"/>
              <w:rPr>
                <w:sz w:val="24"/>
                <w:szCs w:val="24"/>
              </w:rPr>
            </w:pPr>
            <w:r>
              <w:rPr>
                <w:rFonts w:hint="eastAsia"/>
                <w:sz w:val="24"/>
                <w:szCs w:val="24"/>
              </w:rPr>
              <w:t>1、支持物理机的全部功能，如具有自己的资源（CPU，内存，网卡，存储、软驱、光驱、显卡等），可以指定单独的IP地址、MAC地址等；</w:t>
            </w:r>
          </w:p>
          <w:p w14:paraId="06D2E703">
            <w:pPr>
              <w:jc w:val="left"/>
              <w:rPr>
                <w:sz w:val="24"/>
                <w:szCs w:val="24"/>
              </w:rPr>
            </w:pPr>
            <w:r>
              <w:rPr>
                <w:rFonts w:hint="eastAsia"/>
                <w:sz w:val="24"/>
                <w:szCs w:val="24"/>
              </w:rPr>
              <w:t>2、为方便运维人员操作，提供B/S和C/S两种虚拟机控制台使用方式，C/S客户端无任何授权限制，支持本地文件托拉拽到虚拟机内部且支持和本地共享粘贴板（需提供第三方测试机构的证明材料，至少包含报告首页，对应功能测试页和报告尾页）；</w:t>
            </w:r>
          </w:p>
          <w:p w14:paraId="04BDF4C5">
            <w:pPr>
              <w:jc w:val="left"/>
              <w:rPr>
                <w:sz w:val="24"/>
                <w:szCs w:val="24"/>
              </w:rPr>
            </w:pPr>
            <w:r>
              <w:rPr>
                <w:rFonts w:hint="eastAsia"/>
                <w:sz w:val="24"/>
                <w:szCs w:val="24"/>
              </w:rPr>
              <w:t>3、支持虚拟机和裸金属服务器统一管理，支持对裸金属服务器远程电源管理、挂载安装ISO镜像等操作，可将虚拟机镜像部署为裸金属服务器操作系统，可查看裸金属服务器电源状态、CPU、内存、硬盘等硬件信息，支持打开裸金属服务器控制台进行运维操作（需提供第三方测试机构的证明材料，至少包含报告首页，对应功能测试页和报告尾页）；</w:t>
            </w:r>
          </w:p>
          <w:p w14:paraId="1EC28136">
            <w:pPr>
              <w:jc w:val="left"/>
              <w:rPr>
                <w:sz w:val="24"/>
                <w:szCs w:val="24"/>
              </w:rPr>
            </w:pPr>
            <w:r>
              <w:rPr>
                <w:rFonts w:hint="eastAsia"/>
                <w:sz w:val="24"/>
                <w:szCs w:val="24"/>
              </w:rPr>
              <w:t>4、支持在线双向跨云迁移功能，在管理界面内将源站点的虚拟机不中断的迁移到目标站点平台内，跨云迁移的站点包括但不限于vSphere、投标品牌虚拟化平台等，迁移过程无需手动关机和重启操作，本次提供不少于100个跨云迁移授权（需提供第三方测试机构的证明材料，至少包含报告首页，对应功能测试页和报告尾页）；</w:t>
            </w:r>
          </w:p>
          <w:p w14:paraId="60EF409F">
            <w:pPr>
              <w:jc w:val="left"/>
              <w:rPr>
                <w:sz w:val="24"/>
                <w:szCs w:val="24"/>
              </w:rPr>
            </w:pPr>
            <w:r>
              <w:rPr>
                <w:rFonts w:hint="eastAsia"/>
                <w:sz w:val="24"/>
                <w:szCs w:val="24"/>
              </w:rPr>
              <w:t>5、支持主机、硬盘、网卡定位功能以快速寻找机房部件，提升运维效率，通过服务器主机的UID指示灯状态可以快速定位识别到目标主机位置，支持对UID指示灯进行常亮、关闭、闪烁操作，支持自定义闪烁时间（需提供第三方测试机构的证明材料，至少包含报告首页，对应功能测试页和报告尾页）；</w:t>
            </w:r>
          </w:p>
          <w:p w14:paraId="5AF1F1E0">
            <w:pPr>
              <w:jc w:val="left"/>
              <w:rPr>
                <w:sz w:val="24"/>
                <w:szCs w:val="24"/>
              </w:rPr>
            </w:pPr>
            <w:r>
              <w:rPr>
                <w:rFonts w:hint="eastAsia"/>
                <w:sz w:val="24"/>
                <w:szCs w:val="24"/>
              </w:rPr>
              <w:t>6、提供云网融合一体化图形管理界面，虚拟化管理平台支持纳管、配置和监控物理交换机设备，虚拟化管理平台界面支持设置物理交换机环路检测、端口速率、LLDP功能开关、端口聚合等；支持在虚拟化管理界面查看物理交换机各个端口信号灯状态、VLAN ID、连接状态、速率、带宽利用率、对端连接设备、光模块类型和匹配状态等信息（需提供第三方测试机构的证明材料，至少包含报告首页，对应功能测试页和报告尾页）；</w:t>
            </w:r>
          </w:p>
          <w:p w14:paraId="12FFD3EA">
            <w:pPr>
              <w:jc w:val="left"/>
              <w:rPr>
                <w:sz w:val="24"/>
                <w:szCs w:val="24"/>
              </w:rPr>
            </w:pPr>
            <w:r>
              <w:rPr>
                <w:rFonts w:hint="eastAsia"/>
                <w:sz w:val="24"/>
                <w:szCs w:val="24"/>
              </w:rPr>
              <w:t>7、支持常见的虚拟资源和物理资源报警，包括但不限于CPU、内存、网卡和硬盘等资源；平台支持不同类型的报警级别，不同级别的报警需要发出对应级别的报警消息；支持邮件、短信、微信、钉钉、Teams及webhook等工具接收告警消息；</w:t>
            </w:r>
          </w:p>
          <w:p w14:paraId="3DD0995B">
            <w:pPr>
              <w:jc w:val="left"/>
              <w:rPr>
                <w:sz w:val="24"/>
                <w:szCs w:val="24"/>
              </w:rPr>
            </w:pPr>
            <w:r>
              <w:rPr>
                <w:rFonts w:hint="eastAsia"/>
                <w:sz w:val="24"/>
                <w:szCs w:val="24"/>
              </w:rPr>
              <w:t>二、计算虚拟化</w:t>
            </w:r>
          </w:p>
          <w:p w14:paraId="7F3A8B78">
            <w:pPr>
              <w:jc w:val="left"/>
              <w:rPr>
                <w:sz w:val="24"/>
                <w:szCs w:val="24"/>
              </w:rPr>
            </w:pPr>
            <w:r>
              <w:rPr>
                <w:rFonts w:hint="eastAsia"/>
                <w:sz w:val="24"/>
                <w:szCs w:val="24"/>
              </w:rPr>
              <w:t>1、计算虚拟化软件需兼容海光、鲲鹏、飞腾等六家主流国产芯片，需提供虚拟化产品与芯片产品的兼容性互认证证书；</w:t>
            </w:r>
          </w:p>
          <w:p w14:paraId="306C8745">
            <w:pPr>
              <w:jc w:val="left"/>
              <w:rPr>
                <w:sz w:val="24"/>
                <w:szCs w:val="24"/>
              </w:rPr>
            </w:pPr>
            <w:r>
              <w:rPr>
                <w:rFonts w:hint="eastAsia"/>
                <w:sz w:val="24"/>
                <w:szCs w:val="24"/>
              </w:rPr>
              <w:t>2、支持虚拟机启动、重置密码、暂停、恢复、重启、关闭、快速克隆、迁移、备份、模板导入导出、快照等功能，支持嵌套虚拟化；</w:t>
            </w:r>
          </w:p>
          <w:p w14:paraId="2DB61E19">
            <w:pPr>
              <w:jc w:val="left"/>
              <w:rPr>
                <w:sz w:val="24"/>
                <w:szCs w:val="24"/>
              </w:rPr>
            </w:pPr>
            <w:r>
              <w:rPr>
                <w:rFonts w:hint="eastAsia"/>
                <w:sz w:val="24"/>
                <w:szCs w:val="24"/>
              </w:rPr>
              <w:t>3、支持主流的X86架构的操作系统，包括Windows Server 2003/2008/2012/2016/2019/2022，以及Oracle、Redhat、OpenSuse、Debian、Ubuntu、CentOS、红旗、麒麟信安、银河麒麟、统信、方德、凝思等主流Linux OS，同时支持Mac OS/VxWorks/安卓等嵌入式操作系统；</w:t>
            </w:r>
          </w:p>
          <w:p w14:paraId="6DE9FAEB">
            <w:pPr>
              <w:jc w:val="left"/>
              <w:rPr>
                <w:sz w:val="24"/>
                <w:szCs w:val="24"/>
              </w:rPr>
            </w:pPr>
            <w:r>
              <w:rPr>
                <w:rFonts w:hint="eastAsia"/>
                <w:sz w:val="24"/>
                <w:szCs w:val="24"/>
              </w:rPr>
              <w:t>4、支持DRS动态资源调度、支持DPM动态电源调度，支持虚拟机故障HA功能，可配置HA接入控制策略，HA最大尝试次数、HA资源预留，且支持HA故障切换主机设置，达到故障隔离的效果，并支持配置虚拟机自启动策略和启动优先级；</w:t>
            </w:r>
          </w:p>
          <w:p w14:paraId="7CC3541B">
            <w:pPr>
              <w:jc w:val="left"/>
              <w:rPr>
                <w:sz w:val="24"/>
                <w:szCs w:val="24"/>
              </w:rPr>
            </w:pPr>
            <w:r>
              <w:rPr>
                <w:rFonts w:hint="eastAsia"/>
                <w:sz w:val="24"/>
                <w:szCs w:val="24"/>
              </w:rPr>
              <w:t>5、支持大内存页和DPDK加速功能，虚拟化界面可配置内存页大小和页数，支持虚拟机NUMA感知功能，保证虚拟机OS的NUMA与主机的NUMA拓扑保持一致，并显示大内存页的使用量和可用内存；</w:t>
            </w:r>
          </w:p>
          <w:p w14:paraId="7C29CEE8">
            <w:pPr>
              <w:jc w:val="left"/>
              <w:rPr>
                <w:sz w:val="24"/>
                <w:szCs w:val="24"/>
              </w:rPr>
            </w:pPr>
            <w:r>
              <w:rPr>
                <w:rFonts w:hint="eastAsia"/>
                <w:sz w:val="24"/>
                <w:szCs w:val="24"/>
              </w:rPr>
              <w:t>6、支持一键开启和关闭数据中心内、集群内的所有虚拟机，并设置虚拟机跟随主机启动策略以及虚拟机启动优先级策略，方便机房搬迁或关电运维场景使用；</w:t>
            </w:r>
          </w:p>
          <w:p w14:paraId="37F52CEC">
            <w:pPr>
              <w:jc w:val="left"/>
              <w:rPr>
                <w:sz w:val="24"/>
                <w:szCs w:val="24"/>
              </w:rPr>
            </w:pPr>
            <w:r>
              <w:rPr>
                <w:rFonts w:hint="eastAsia"/>
                <w:sz w:val="24"/>
                <w:szCs w:val="24"/>
              </w:rPr>
              <w:t>三、存储虚拟化</w:t>
            </w:r>
          </w:p>
          <w:p w14:paraId="37900D73">
            <w:pPr>
              <w:jc w:val="left"/>
              <w:rPr>
                <w:sz w:val="24"/>
                <w:szCs w:val="24"/>
              </w:rPr>
            </w:pPr>
            <w:r>
              <w:rPr>
                <w:rFonts w:hint="eastAsia"/>
                <w:sz w:val="24"/>
                <w:szCs w:val="24"/>
              </w:rPr>
              <w:t>1、支持设置虚拟磁盘策略，包括精确设置磁盘每秒的读写次数及读写速率，可自主选择磁盘格式，包括但不限于RAW\QCOW2等；</w:t>
            </w:r>
          </w:p>
          <w:p w14:paraId="0A42DC07">
            <w:pPr>
              <w:jc w:val="left"/>
              <w:rPr>
                <w:sz w:val="24"/>
                <w:szCs w:val="24"/>
              </w:rPr>
            </w:pPr>
            <w:r>
              <w:rPr>
                <w:rFonts w:hint="eastAsia"/>
                <w:sz w:val="24"/>
                <w:szCs w:val="24"/>
              </w:rPr>
              <w:t>2、支持多种存储对接协议，支持通过ISCSI、iSER、NVMe over RoCE、FC、FC-NVMe协议对接外部集中式\分布式存储，需提供至少三家国产主流的阵列存储厂商基于NoF协议的阵列产品兼容性证书，包括但不限于华为、浪潮、宏杉等；</w:t>
            </w:r>
          </w:p>
          <w:p w14:paraId="31011D8D">
            <w:pPr>
              <w:jc w:val="left"/>
              <w:rPr>
                <w:sz w:val="24"/>
                <w:szCs w:val="24"/>
              </w:rPr>
            </w:pPr>
            <w:r>
              <w:rPr>
                <w:rFonts w:hint="eastAsia"/>
                <w:sz w:val="24"/>
                <w:szCs w:val="24"/>
              </w:rPr>
              <w:t>3、对接远端存储时，可配置对接存储的IP以及端口号，为保证数据安全，需支持单向和双向验证CHAP身份信息；</w:t>
            </w:r>
          </w:p>
          <w:p w14:paraId="584A91D1">
            <w:pPr>
              <w:jc w:val="left"/>
              <w:rPr>
                <w:sz w:val="24"/>
                <w:szCs w:val="24"/>
              </w:rPr>
            </w:pPr>
            <w:r>
              <w:rPr>
                <w:rFonts w:hint="eastAsia"/>
                <w:sz w:val="24"/>
                <w:szCs w:val="24"/>
              </w:rPr>
              <w:t>4、虚拟磁盘支持内核级I/O加速，将虚拟磁盘的I/O驱动从用户态迁移到内核态，且支持异步I/O加速功能，有效提升磁盘读写性能；</w:t>
            </w:r>
          </w:p>
          <w:p w14:paraId="17B319EF">
            <w:pPr>
              <w:jc w:val="left"/>
              <w:rPr>
                <w:sz w:val="24"/>
                <w:szCs w:val="24"/>
              </w:rPr>
            </w:pPr>
            <w:r>
              <w:rPr>
                <w:rFonts w:hint="eastAsia"/>
                <w:sz w:val="24"/>
                <w:szCs w:val="24"/>
              </w:rPr>
              <w:t>四、网络虚拟化</w:t>
            </w:r>
          </w:p>
          <w:p w14:paraId="692F6033">
            <w:pPr>
              <w:jc w:val="left"/>
              <w:rPr>
                <w:sz w:val="24"/>
                <w:szCs w:val="24"/>
              </w:rPr>
            </w:pPr>
            <w:r>
              <w:rPr>
                <w:rFonts w:hint="eastAsia"/>
                <w:sz w:val="24"/>
                <w:szCs w:val="24"/>
              </w:rPr>
              <w:t>1、提供全局分布式SDN功能，以避免SDN控制节点故障，提供分布式SDN硬件加速能力，可提供更高转发性能，SDN支持VLAN/VXLAN模式；</w:t>
            </w:r>
          </w:p>
          <w:p w14:paraId="437528A1">
            <w:pPr>
              <w:jc w:val="left"/>
              <w:rPr>
                <w:sz w:val="24"/>
                <w:szCs w:val="24"/>
              </w:rPr>
            </w:pPr>
            <w:r>
              <w:rPr>
                <w:rFonts w:hint="eastAsia"/>
                <w:sz w:val="24"/>
                <w:szCs w:val="24"/>
              </w:rPr>
              <w:t>2、支持全局分布式SDN智能加速，卸载分布式SDN网络的数据平面到硬件网卡，通过对东西向Overlay网络流量和南北向流量卸载，大幅提高网络转发性能并节省主机资源；</w:t>
            </w:r>
          </w:p>
          <w:p w14:paraId="3D88AAC9">
            <w:pPr>
              <w:jc w:val="left"/>
              <w:rPr>
                <w:sz w:val="24"/>
                <w:szCs w:val="24"/>
              </w:rPr>
            </w:pPr>
            <w:r>
              <w:rPr>
                <w:rFonts w:hint="eastAsia"/>
                <w:sz w:val="24"/>
                <w:szCs w:val="24"/>
              </w:rPr>
              <w:t>3、为方便运维操作，支持网络图形化编排，编辑网络拓扑及拖拽网元即可完成网络拓扑的创建、变更、属性编辑；</w:t>
            </w:r>
          </w:p>
          <w:p w14:paraId="26568174">
            <w:pPr>
              <w:jc w:val="left"/>
              <w:rPr>
                <w:sz w:val="24"/>
                <w:szCs w:val="24"/>
              </w:rPr>
            </w:pPr>
            <w:r>
              <w:rPr>
                <w:rFonts w:hint="eastAsia"/>
                <w:sz w:val="24"/>
                <w:szCs w:val="24"/>
              </w:rPr>
              <w:t>4、支持物理网卡定位功能，可在平台发现网卡故障后，在管理界面直接点亮损坏网卡，方便运维人员到机房快速发现故障网卡设备，支持主备上行链路倒换；</w:t>
            </w:r>
          </w:p>
          <w:p w14:paraId="02E602C2">
            <w:pPr>
              <w:jc w:val="left"/>
              <w:rPr>
                <w:sz w:val="24"/>
                <w:szCs w:val="24"/>
              </w:rPr>
            </w:pPr>
            <w:r>
              <w:rPr>
                <w:rFonts w:hint="eastAsia"/>
                <w:sz w:val="24"/>
                <w:szCs w:val="24"/>
              </w:rPr>
              <w:t>5、支持分布式路由器功能，可关联业务子网进行路由通信，可配置分布式NAT网关和SNAT网络转换地址进行外部通信；支持分布式NAT网关功能，NAT地址可绑定虚拟机的虚拟网卡，外部流量通过该地址访问虚拟机；</w:t>
            </w:r>
          </w:p>
          <w:p w14:paraId="62562909">
            <w:pPr>
              <w:jc w:val="left"/>
              <w:rPr>
                <w:sz w:val="24"/>
                <w:szCs w:val="24"/>
              </w:rPr>
            </w:pPr>
            <w:r>
              <w:rPr>
                <w:rFonts w:hint="eastAsia"/>
                <w:sz w:val="24"/>
                <w:szCs w:val="24"/>
              </w:rPr>
              <w:t>五、备份容灾</w:t>
            </w:r>
          </w:p>
          <w:p w14:paraId="6B9B42F0">
            <w:pPr>
              <w:jc w:val="left"/>
              <w:rPr>
                <w:sz w:val="24"/>
                <w:szCs w:val="24"/>
              </w:rPr>
            </w:pPr>
            <w:r>
              <w:rPr>
                <w:rFonts w:hint="eastAsia"/>
                <w:sz w:val="24"/>
                <w:szCs w:val="24"/>
              </w:rPr>
              <w:t>1、提供无授权限制的备份功能，支持虚拟机CBT模式备份，支持周期性备份和批量备份功能，备份策略可细化到分钟级，支持恢复过程中对虚拟机进行配置；</w:t>
            </w:r>
          </w:p>
          <w:p w14:paraId="6D5D77F6">
            <w:pPr>
              <w:jc w:val="left"/>
              <w:rPr>
                <w:sz w:val="24"/>
                <w:szCs w:val="24"/>
              </w:rPr>
            </w:pPr>
            <w:r>
              <w:rPr>
                <w:rFonts w:hint="eastAsia"/>
                <w:sz w:val="24"/>
                <w:szCs w:val="24"/>
              </w:rPr>
              <w:t>2、虚拟化具备数据中心全局服务器损坏恢复能力，数据中心内所有服务器发生不可恢复灾难时，通过更换少量服务器即可立即恢复重要业务，后续可继续添加服务器恢复全局业务；</w:t>
            </w:r>
          </w:p>
          <w:p w14:paraId="2CB3A843">
            <w:pPr>
              <w:jc w:val="left"/>
              <w:rPr>
                <w:sz w:val="24"/>
                <w:szCs w:val="24"/>
              </w:rPr>
            </w:pPr>
            <w:r>
              <w:rPr>
                <w:rFonts w:hint="eastAsia"/>
                <w:sz w:val="24"/>
                <w:szCs w:val="24"/>
              </w:rPr>
              <w:t>3、虚拟化软件提供站点间异地容灾监控大屏功能，通过大屏可显示站点间管理链路状态、保护组及受保护虚拟机数量及状态、容灾任务及关键告警等信息；</w:t>
            </w:r>
          </w:p>
          <w:p w14:paraId="0E989C0C">
            <w:pPr>
              <w:jc w:val="left"/>
              <w:rPr>
                <w:sz w:val="24"/>
                <w:szCs w:val="24"/>
              </w:rPr>
            </w:pPr>
            <w:r>
              <w:rPr>
                <w:rFonts w:hint="eastAsia"/>
                <w:sz w:val="24"/>
                <w:szCs w:val="24"/>
              </w:rPr>
              <w:t>六、授权及服务</w:t>
            </w:r>
          </w:p>
          <w:p w14:paraId="7782C386">
            <w:pPr>
              <w:jc w:val="left"/>
              <w:rPr>
                <w:sz w:val="24"/>
                <w:szCs w:val="24"/>
              </w:rPr>
            </w:pPr>
            <w:r>
              <w:rPr>
                <w:rFonts w:hint="eastAsia"/>
                <w:sz w:val="24"/>
                <w:szCs w:val="24"/>
              </w:rPr>
              <w:t>1、授权：提供1个虚拟化软件授权（按CPU授权），需保证与现有浪潮虚拟化集群充分兼容适配、实现无缝纳管，提供承诺函；</w:t>
            </w:r>
          </w:p>
          <w:p w14:paraId="0A70F235">
            <w:pPr>
              <w:jc w:val="left"/>
              <w:rPr>
                <w:sz w:val="24"/>
                <w:szCs w:val="24"/>
              </w:rPr>
            </w:pPr>
            <w:r>
              <w:rPr>
                <w:rFonts w:hint="eastAsia"/>
                <w:sz w:val="24"/>
                <w:szCs w:val="24"/>
              </w:rPr>
              <w:t>2、服务：软件三年质保，三年免费升级服务。</w:t>
            </w:r>
          </w:p>
        </w:tc>
        <w:tc>
          <w:tcPr>
            <w:tcW w:w="784" w:type="dxa"/>
            <w:vAlign w:val="center"/>
          </w:tcPr>
          <w:p w14:paraId="35A54247">
            <w:pPr>
              <w:jc w:val="center"/>
              <w:rPr>
                <w:sz w:val="24"/>
                <w:szCs w:val="24"/>
              </w:rPr>
            </w:pPr>
            <w:r>
              <w:rPr>
                <w:rFonts w:hint="eastAsia"/>
                <w:sz w:val="24"/>
                <w:szCs w:val="24"/>
              </w:rPr>
              <w:t>8</w:t>
            </w:r>
          </w:p>
        </w:tc>
        <w:tc>
          <w:tcPr>
            <w:tcW w:w="716" w:type="dxa"/>
            <w:vAlign w:val="center"/>
          </w:tcPr>
          <w:p w14:paraId="2D3D2091">
            <w:pPr>
              <w:jc w:val="center"/>
              <w:rPr>
                <w:sz w:val="24"/>
                <w:szCs w:val="24"/>
              </w:rPr>
            </w:pPr>
            <w:r>
              <w:rPr>
                <w:rFonts w:hint="eastAsia"/>
                <w:sz w:val="24"/>
                <w:szCs w:val="24"/>
              </w:rPr>
              <w:t>套</w:t>
            </w:r>
          </w:p>
        </w:tc>
      </w:tr>
    </w:tbl>
    <w:p w14:paraId="1C207546">
      <w:pPr>
        <w:jc w:val="left"/>
        <w:rPr>
          <w:sz w:val="24"/>
          <w:szCs w:val="24"/>
        </w:rPr>
      </w:pPr>
    </w:p>
    <w:p w14:paraId="551BF76B">
      <w:pPr>
        <w:spacing w:line="360" w:lineRule="auto"/>
        <w:outlineLvl w:val="1"/>
        <w:rPr>
          <w:rFonts w:ascii="宋体" w:hAnsi="宋体" w:cs="宋体"/>
          <w:b/>
          <w:bCs/>
          <w:sz w:val="24"/>
          <w:szCs w:val="24"/>
        </w:rPr>
      </w:pPr>
      <w:bookmarkStart w:id="0" w:name="_Toc9761"/>
      <w:r>
        <w:rPr>
          <w:rFonts w:hint="eastAsia" w:ascii="宋体" w:hAnsi="宋体" w:cs="宋体"/>
          <w:b/>
          <w:bCs/>
          <w:sz w:val="24"/>
          <w:szCs w:val="24"/>
        </w:rPr>
        <w:t>二、交货及安装要求</w:t>
      </w:r>
      <w:bookmarkEnd w:id="0"/>
    </w:p>
    <w:p w14:paraId="505B2476">
      <w:pPr>
        <w:spacing w:line="360" w:lineRule="auto"/>
        <w:jc w:val="left"/>
        <w:rPr>
          <w:sz w:val="24"/>
          <w:szCs w:val="24"/>
        </w:rPr>
      </w:pPr>
      <w:r>
        <w:rPr>
          <w:rFonts w:hint="eastAsia"/>
          <w:sz w:val="24"/>
          <w:szCs w:val="24"/>
        </w:rPr>
        <w:t>1、交付（实施）期限：合同签订后30个工作日内。</w:t>
      </w:r>
    </w:p>
    <w:p w14:paraId="50829AFE">
      <w:pPr>
        <w:jc w:val="left"/>
        <w:rPr>
          <w:sz w:val="24"/>
          <w:szCs w:val="24"/>
        </w:rPr>
      </w:pPr>
      <w:r>
        <w:rPr>
          <w:rFonts w:hint="eastAsia"/>
          <w:sz w:val="24"/>
          <w:szCs w:val="24"/>
        </w:rPr>
        <w:t>2、交付（实施）地点：云南大学附属医院指定地点。</w:t>
      </w:r>
    </w:p>
    <w:p w14:paraId="08486D25">
      <w:pPr>
        <w:jc w:val="left"/>
        <w:rPr>
          <w:rFonts w:ascii="宋体" w:hAnsi="宋体" w:cs="宋体"/>
          <w:szCs w:val="21"/>
        </w:rPr>
      </w:pPr>
    </w:p>
    <w:p w14:paraId="2F7F0796">
      <w:pPr>
        <w:jc w:val="left"/>
        <w:rPr>
          <w:rFonts w:ascii="宋体" w:hAnsi="宋体" w:cs="宋体"/>
          <w:szCs w:val="21"/>
        </w:rPr>
      </w:pPr>
    </w:p>
    <w:p w14:paraId="1D94AAC1">
      <w:pPr>
        <w:spacing w:line="360" w:lineRule="auto"/>
        <w:outlineLvl w:val="1"/>
        <w:rPr>
          <w:rFonts w:ascii="宋体" w:hAnsi="宋体" w:cs="宋体"/>
          <w:b/>
          <w:bCs/>
          <w:sz w:val="24"/>
          <w:szCs w:val="24"/>
        </w:rPr>
      </w:pPr>
      <w:r>
        <w:rPr>
          <w:rFonts w:hint="eastAsia" w:ascii="宋体" w:hAnsi="宋体" w:cs="宋体"/>
          <w:b/>
          <w:bCs/>
          <w:sz w:val="24"/>
          <w:szCs w:val="24"/>
        </w:rPr>
        <w:t>三、质量要求及售后服务</w:t>
      </w:r>
    </w:p>
    <w:p w14:paraId="3FB29488">
      <w:pPr>
        <w:spacing w:line="360" w:lineRule="auto"/>
        <w:rPr>
          <w:sz w:val="24"/>
          <w:szCs w:val="24"/>
        </w:rPr>
      </w:pPr>
      <w:r>
        <w:rPr>
          <w:sz w:val="24"/>
        </w:rPr>
        <w:t>1</w:t>
      </w:r>
      <w:r>
        <w:rPr>
          <w:rFonts w:hint="eastAsia"/>
          <w:sz w:val="24"/>
        </w:rPr>
        <w:t>、质量要求：项目交付设备符合技术要求。</w:t>
      </w:r>
    </w:p>
    <w:p w14:paraId="654C24B3">
      <w:pPr>
        <w:spacing w:line="360" w:lineRule="auto"/>
        <w:rPr>
          <w:sz w:val="24"/>
          <w:szCs w:val="24"/>
        </w:rPr>
      </w:pPr>
      <w:r>
        <w:rPr>
          <w:sz w:val="24"/>
          <w:szCs w:val="24"/>
        </w:rPr>
        <w:t>2</w:t>
      </w:r>
      <w:r>
        <w:rPr>
          <w:rFonts w:hint="eastAsia"/>
          <w:sz w:val="24"/>
          <w:szCs w:val="24"/>
        </w:rPr>
        <w:t>、售后服务：</w:t>
      </w:r>
    </w:p>
    <w:p w14:paraId="317B879E">
      <w:pPr>
        <w:spacing w:line="360" w:lineRule="auto"/>
        <w:rPr>
          <w:sz w:val="24"/>
          <w:szCs w:val="24"/>
        </w:rPr>
      </w:pPr>
      <w:r>
        <w:rPr>
          <w:rFonts w:hint="eastAsia"/>
          <w:sz w:val="24"/>
          <w:szCs w:val="24"/>
        </w:rPr>
        <w:t>（</w:t>
      </w:r>
      <w:r>
        <w:rPr>
          <w:sz w:val="24"/>
          <w:szCs w:val="24"/>
        </w:rPr>
        <w:t>1</w:t>
      </w:r>
      <w:r>
        <w:rPr>
          <w:rFonts w:hint="eastAsia"/>
          <w:sz w:val="24"/>
          <w:szCs w:val="24"/>
        </w:rPr>
        <w:t>）365天*24小时全天候远程或现场技术支持服务。</w:t>
      </w:r>
    </w:p>
    <w:p w14:paraId="16862DB7">
      <w:pPr>
        <w:spacing w:line="360" w:lineRule="auto"/>
        <w:rPr>
          <w:sz w:val="24"/>
          <w:szCs w:val="24"/>
        </w:rPr>
      </w:pPr>
      <w:r>
        <w:rPr>
          <w:rFonts w:hint="eastAsia"/>
          <w:sz w:val="24"/>
          <w:szCs w:val="24"/>
        </w:rPr>
        <w:t>（2）服务响应时间要求：自接到用户方服务请求之时起计：①远程服务：须满足30分钟内响应，4小时内解决故障。②上门服务：须满足30分钟内响应，4小时内上门到达现场，8小时内解决故障。</w:t>
      </w:r>
    </w:p>
    <w:p w14:paraId="16D60001">
      <w:pPr>
        <w:spacing w:line="360" w:lineRule="auto"/>
        <w:rPr>
          <w:sz w:val="24"/>
          <w:szCs w:val="24"/>
        </w:rPr>
      </w:pPr>
      <w:r>
        <w:rPr>
          <w:rFonts w:hint="eastAsia"/>
          <w:sz w:val="24"/>
          <w:szCs w:val="24"/>
        </w:rPr>
        <w:t>（3）配备原厂售后团队，为项目的售后服务及技术支持提供保障；</w:t>
      </w:r>
    </w:p>
    <w:p w14:paraId="0AC3CC2F">
      <w:pPr>
        <w:spacing w:line="360" w:lineRule="auto"/>
        <w:rPr>
          <w:sz w:val="24"/>
          <w:szCs w:val="24"/>
        </w:rPr>
      </w:pPr>
      <w:r>
        <w:rPr>
          <w:rFonts w:hint="eastAsia"/>
          <w:sz w:val="24"/>
          <w:szCs w:val="24"/>
        </w:rPr>
        <w:t>（4）完善的系统维护流程及故障应急处理方案；</w:t>
      </w:r>
    </w:p>
    <w:p w14:paraId="4513F09E">
      <w:pPr>
        <w:spacing w:line="360" w:lineRule="auto"/>
        <w:rPr>
          <w:sz w:val="24"/>
          <w:szCs w:val="24"/>
        </w:rPr>
      </w:pPr>
      <w:r>
        <w:rPr>
          <w:rFonts w:hint="eastAsia"/>
          <w:sz w:val="24"/>
          <w:szCs w:val="24"/>
        </w:rPr>
        <w:t>（5）每月提供一次上门现场巡检维护服务。</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1C3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6CB18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6CB18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69"/>
    <w:rsid w:val="000A7474"/>
    <w:rsid w:val="000C1105"/>
    <w:rsid w:val="000C4E33"/>
    <w:rsid w:val="00125CCB"/>
    <w:rsid w:val="00141642"/>
    <w:rsid w:val="001D77FF"/>
    <w:rsid w:val="0022266D"/>
    <w:rsid w:val="0023110A"/>
    <w:rsid w:val="002D10B1"/>
    <w:rsid w:val="002F2928"/>
    <w:rsid w:val="0034198D"/>
    <w:rsid w:val="00377F54"/>
    <w:rsid w:val="004D0118"/>
    <w:rsid w:val="00531ABA"/>
    <w:rsid w:val="00537D99"/>
    <w:rsid w:val="00545F88"/>
    <w:rsid w:val="00547B52"/>
    <w:rsid w:val="00584DDD"/>
    <w:rsid w:val="005B21A6"/>
    <w:rsid w:val="005B274F"/>
    <w:rsid w:val="005C3700"/>
    <w:rsid w:val="0068301F"/>
    <w:rsid w:val="006C1F6C"/>
    <w:rsid w:val="006E1949"/>
    <w:rsid w:val="00735DA1"/>
    <w:rsid w:val="007A30A2"/>
    <w:rsid w:val="007A6CD6"/>
    <w:rsid w:val="007B46D9"/>
    <w:rsid w:val="00802346"/>
    <w:rsid w:val="00804AB8"/>
    <w:rsid w:val="008622B8"/>
    <w:rsid w:val="008B5215"/>
    <w:rsid w:val="00907511"/>
    <w:rsid w:val="0097473E"/>
    <w:rsid w:val="009A6FD6"/>
    <w:rsid w:val="009E3CAC"/>
    <w:rsid w:val="00A54861"/>
    <w:rsid w:val="00A7079E"/>
    <w:rsid w:val="00A7697D"/>
    <w:rsid w:val="00AB6DCA"/>
    <w:rsid w:val="00AC515F"/>
    <w:rsid w:val="00AE297C"/>
    <w:rsid w:val="00B143B0"/>
    <w:rsid w:val="00B357E1"/>
    <w:rsid w:val="00BC5369"/>
    <w:rsid w:val="00C12D74"/>
    <w:rsid w:val="00C249A8"/>
    <w:rsid w:val="00C46CC1"/>
    <w:rsid w:val="00C505D9"/>
    <w:rsid w:val="00D2625D"/>
    <w:rsid w:val="00D270BE"/>
    <w:rsid w:val="00D36E8F"/>
    <w:rsid w:val="00D51A02"/>
    <w:rsid w:val="00DC1528"/>
    <w:rsid w:val="00E10F25"/>
    <w:rsid w:val="00E26788"/>
    <w:rsid w:val="00EA7366"/>
    <w:rsid w:val="00EC7B17"/>
    <w:rsid w:val="00F03323"/>
    <w:rsid w:val="00F033B3"/>
    <w:rsid w:val="00F171F6"/>
    <w:rsid w:val="00FB5FA6"/>
    <w:rsid w:val="597943E6"/>
    <w:rsid w:val="726B0AB7"/>
    <w:rsid w:val="76311D5D"/>
    <w:rsid w:val="76E2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YNHH</Company>
  <Pages>6</Pages>
  <Words>4565</Words>
  <Characters>5136</Characters>
  <Lines>37</Lines>
  <Paragraphs>10</Paragraphs>
  <TotalTime>211</TotalTime>
  <ScaleCrop>false</ScaleCrop>
  <LinksUpToDate>false</LinksUpToDate>
  <CharactersWithSpaces>5173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2025-09-15T02:55:00Z</dcterms:created>
  <dc:creator>Administrator</dc:creator>
  <cp:lastModifiedBy>微信用户</cp:lastModifiedBy>
  <dcterms:modified xsi:type="dcterms:W3CDTF">2025-09-18T00:44:35Z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eyJoZGlkIjoiNmRiYmYwZjIwMmFhMTY1ZTM2NjQ4ODBhNTEwOTIyMzUiLCJ1c2VySWQiOiIxMjU4NTI4NzEwIn0=</vt:lpwstr>
  </property>
  <property fmtid="{D5CDD505-2E9C-101B-9397-08002B2CF9AE}" pid="3" name="KSOProductBuildVer">
    <vt:lpwstr>2052-12.1.0.22529</vt:lpwstr>
  </property>
  <property fmtid="{D5CDD505-2E9C-101B-9397-08002B2CF9AE}" pid="4" name="ICV">
    <vt:lpwstr>57172F4A83CF4095A5F5572EB6D062EA_12</vt:lpwstr>
  </property>
</Properties>
</file>