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935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现场毒物标本检测车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含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车辆改装及落户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采购需求</w:t>
      </w:r>
    </w:p>
    <w:p w14:paraId="40FD0DB3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Toc17891"/>
      <w:bookmarkStart w:id="1" w:name="_Toc24395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现场毒物标本检测车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外部采购需求</w:t>
      </w:r>
      <w:bookmarkEnd w:id="0"/>
      <w:bookmarkEnd w:id="1"/>
    </w:p>
    <w:p w14:paraId="362BC6A0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1、车辆底盘选择：结合国家标准，根据快检车所载重的设备以及车辆使用环境，选择适合的车辆底盘。</w:t>
      </w:r>
    </w:p>
    <w:p w14:paraId="78D68581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2、外观：外表面简洁美观，具有较好的美观性。表面根据客户要求喷涂图案和专有标志，喷涂具有良好的耐候性。</w:t>
      </w:r>
    </w:p>
    <w:p w14:paraId="1F64F4F7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3、外表面质量：表面平整、无脱层、空洞、翘曲、损坏和永久变形；表面涂层均匀、平整，无漏涂、流痕、皱纹、起泡、脱皮、裂纹、划伤等缺陷。</w:t>
      </w:r>
    </w:p>
    <w:p w14:paraId="7037DB9D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4、车顶平台：为满足车顶设备的安装及维护等需求，对车顶进行加固处理，能够承受不低于100kg的人员车顶设备进行维护。在车顶平台加设安全防护设备，并对车顶进行防滑处理，尾部登车梯进行防滑设计。</w:t>
      </w:r>
    </w:p>
    <w:p w14:paraId="5D4C7F15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5、车底调平支撑系统：车辆底部合适位置安装有自动调平的电动支撑腿。采用4点式支撑，用于驻车条件下的车身稳定。电动支撑腿采用支撑腿控制系统面板集中控制，操作方便、一键展开、一键收回。</w:t>
      </w:r>
    </w:p>
    <w:p w14:paraId="5CD6F3DF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6、驾驶车控制系统：驾驶台面配置有彩色液晶监视器，能对车辆进行导航，支持多路视频输入，包括倒车监控和实验车监控，并能够在行进过程中切换监控。7、保温性：</w:t>
      </w:r>
    </w:p>
    <w:p w14:paraId="06D3624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在夏季高温环境下（外界温度35℃-40℃），车内空调开启制冷模式，将温度设定为25℃，关闭空调后，在1小时内，车内温度上升幅度不得超过2℃。</w:t>
      </w:r>
    </w:p>
    <w:p w14:paraId="3547FC52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在冬季低温环境下（外界温度-10℃-0℃），车内空调开启制热模式，将温度设定为20℃，关闭空调后，在1小时内，车内温度下降幅度不得超过3℃。车门、车窗等可开启部位应设计有良好的保温密封结构。</w:t>
      </w:r>
    </w:p>
    <w:p w14:paraId="7420E01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车门应配备多层密封胶条，确保关闭时的密封性，减少热量的散失。车窗玻璃应选用中空隔热玻璃，其传热系数不高于 2.5W/(m²・K)。</w:t>
      </w:r>
    </w:p>
    <w:p w14:paraId="7493A076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、密闭性：现场毒物标本检测车的车身结构应采用一体化设计，减少车身缝隙和孔洞。所有焊接部位应进行满焊处理，并进行密封胶密封，确保车身的整体密闭性。在车身与底盘的连接处，应采用有效的密封措施，如使用橡胶密封垫或密封胶，防止外界空气和灰尘进入车内。​</w:t>
      </w:r>
    </w:p>
    <w:p w14:paraId="2634C851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2" w:name="_Toc12005"/>
      <w:bookmarkStart w:id="3" w:name="_Toc10068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现场毒物标本检测车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内部采购需求</w:t>
      </w:r>
      <w:bookmarkEnd w:id="2"/>
      <w:bookmarkEnd w:id="3"/>
    </w:p>
    <w:p w14:paraId="45F13C13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1、车内家具：实验车内家具满足《GB24820实验室家具通用技术条件》要求，并进行模块化、通用化和轻量化设计，符合人类工效学、安全性要求。</w:t>
      </w:r>
    </w:p>
    <w:p w14:paraId="47C857FF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实验台面：台面采用耐酸碱的实验室理化台板，台板颜色黑色，外露边圈打磨平整，无锐角锐边。台面转角采用圆弧设计，以防伤人。台面具备良好的承重能力，理化板台面上安装有航空导轨，通过拉环绑带将仪器固定在台面上。</w:t>
      </w:r>
    </w:p>
    <w:p w14:paraId="786B1FF3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3、实验室分区：按照仪器使用环境、整车功能，对实验车车内空间结构合理分出实验分析区、前处理区、设备区、电气车四个相互独立区域。</w:t>
      </w:r>
    </w:p>
    <w:p w14:paraId="2A91038F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4" w:name="_Toc15118"/>
      <w:bookmarkStart w:id="5" w:name="_Toc5497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现场毒物标本检测车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选型原则</w:t>
      </w:r>
      <w:bookmarkEnd w:id="4"/>
      <w:bookmarkEnd w:id="5"/>
    </w:p>
    <w:p w14:paraId="53E9A038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1、车辆总体安全可靠性</w:t>
      </w:r>
    </w:p>
    <w:p w14:paraId="0C2028F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选择性能可靠稳定，配置合理，动力强劲的底盘车辆作为装载平台，保证车辆使用的稳定性与可靠性。底盘的制动性能、动力性能、路面通过性、减震性能、车内空间大小、负载能力均满足设备改装要求。</w:t>
      </w:r>
    </w:p>
    <w:p w14:paraId="24DFB7B7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严格控制整车改装重量，车辆整备质量满足原底盘设计要求，不超过底盘承载能力，最大总质量不超过原车规定的最大总质量的要求，并且整车改装质量分配合理，前后轴载荷分配合理，确保整车的制动性能、爬坡性能不受影响，整车不会出现超重变形现象。</w:t>
      </w:r>
    </w:p>
    <w:p w14:paraId="628D4CB8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2、车身结构安全可靠性</w:t>
      </w:r>
    </w:p>
    <w:p w14:paraId="026E13C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各类设备、设施、物品在整车设计时均要考虑连接可靠性与安放稳定性，避免在行驶过程中出现松动、变形、移位等现象，保证乘员安全与设备安全。</w:t>
      </w:r>
    </w:p>
    <w:p w14:paraId="272C3DEA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3、车辆通过性与运输性</w:t>
      </w:r>
    </w:p>
    <w:p w14:paraId="254E396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选择合适的车辆外形及总体尺寸，避免出现顶盖超高、车身超宽、底盘超低等现象影响通过性能。车辆底盘具有较大的离地间隙、接近角和离去角，以保障车辆在复杂道路上的通过性。</w:t>
      </w:r>
    </w:p>
    <w:p w14:paraId="1002C25E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4、车辆环境适应性</w:t>
      </w:r>
    </w:p>
    <w:p w14:paraId="040B09D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选择动力性、舒适性好的底盘车型，合理控制整车重量，保证整车在复杂道路的动力性，提高车辆在城乡各类道路环境的适应性。同时车辆的大小依据使用原则选择。</w:t>
      </w:r>
    </w:p>
    <w:p w14:paraId="058D4025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5、车辆结构的密封防水性</w:t>
      </w:r>
    </w:p>
    <w:p w14:paraId="7A98539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充分考虑整车的防腐密封性，防水、防雨、防尘，车辆防尘密封性执行 QC/T475-1999，容许限值≥90％，按 GB/T-12478 规定的方法测量；车辆防雨密封性执行 QC/T476-1999，容许限值≥87，按 GB/T12480 规定的方法测量。所有地板穿线、穿管、骨架设备安装位置均做涂胶密封处理，保证地板的密封防尘性。</w:t>
      </w:r>
    </w:p>
    <w:p w14:paraId="7B6E3027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6、使用方便性及抗震性</w:t>
      </w:r>
    </w:p>
    <w:p w14:paraId="40D1AD6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整车与各系统的设计满足灵活、方便、快捷、安全的使用要求，保证快检车到达现场后能尽快进入工作状态。同时，整车与各系统充分考虑减震、降噪、隔音以及人机工程的要求，从结构上、材料上、工艺上确保各设备安全正常工作，并保证内部乘坐人员良好舒适的工作环境。</w:t>
      </w:r>
    </w:p>
    <w:p w14:paraId="2C4D6C67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6" w:name="_Toc4413"/>
      <w:bookmarkStart w:id="7" w:name="_Toc21329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现场毒物标本检测车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改装原则</w:t>
      </w:r>
      <w:bookmarkEnd w:id="6"/>
      <w:bookmarkEnd w:id="7"/>
    </w:p>
    <w:p w14:paraId="46324AC5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1、供电系统</w:t>
      </w:r>
    </w:p>
    <w:p w14:paraId="2119B864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1)配备UPS或应急电源，保障核心设备（如检测仪、中控系统）断电后持续运行30分钟以上。快检车使用市电、不间断逆变稳压电源、发电机三种供电模式，以满足不同现场条件检测需求，在市电无法正常供电的紧急情况下，不间断逆变稳压电源实现对核心设备的应急供电保护。</w:t>
      </w:r>
    </w:p>
    <w:p w14:paraId="572D8706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2)独立配电系统，满足仪器、空调、照明等设备的高功率需求，预留20%-30%负载余量。</w:t>
      </w:r>
    </w:p>
    <w:p w14:paraId="0F492912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3)双路供电设计（市电+发电机/UPS），主备电源自动切换，确保不间断运行。</w:t>
      </w:r>
    </w:p>
    <w:p w14:paraId="54801A1B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4)防漏电、短路保护装置（如漏电断路器），线缆采用阻燃材料，分区走线避免干扰。</w:t>
      </w:r>
    </w:p>
    <w:p w14:paraId="4FD1CB83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5)整车电源应具有良好的保护接地和防雷措施，电路和信号分别接地保护，保证人员在车内用电安全。配备接地装置，强弱电接地分离，关键设备配置稳压器，防止电压波动。</w:t>
      </w:r>
    </w:p>
    <w:p w14:paraId="6FF0DC2C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2、排水系统</w:t>
      </w:r>
    </w:p>
    <w:p w14:paraId="3015DBD5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1)通常采用车载水箱作为主要水源，水箱容量一般根据快检车的使用需求和检测任务量来确定，常见的有200-500升不等，以满足检测设备清洗、实验用水等需求。也可通过外接市政供水接口进行补水，方便在有条件的场所快速补充水源。</w:t>
      </w:r>
    </w:p>
    <w:p w14:paraId="0365C92E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2)根据检测工作的需要，合理设置洗手池、清洗池、蒸馏水器等用水设备，并配备足够容量的水箱。</w:t>
      </w:r>
    </w:p>
    <w:p w14:paraId="15EBB153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3)对水路系统的连接处和设备进行严格的防水处理，防止漏水现象发生。同时，设计合理的排水系统，排水管防渗漏、防反味，配备快速排水接口，确保废水能够及时、顺畅地排出车外，避免积水对车辆和检测设备造成损害。</w:t>
      </w:r>
    </w:p>
    <w:p w14:paraId="6A164C68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4)水路系统的部件应易于拆卸和更换，方便进行日常维护和维修。在车辆底部或易于操作的位置设置排水阀门和检修口，便于清理和疏通排水管道。管道防冻设计（如电伴热），避免低温冻结。</w:t>
      </w:r>
    </w:p>
    <w:p w14:paraId="2975CAD0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5)分类收集实验废水和生活污水，化学试剂废水需独立密封储存，后期专业处理。</w:t>
      </w:r>
    </w:p>
    <w:p w14:paraId="28471D39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3、通排风系统</w:t>
      </w:r>
    </w:p>
    <w:p w14:paraId="6D93A282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1)独立的车载式实验室净化系统，根据车内不同区域的功能和检测设备的特点，合理布置排风口和通风管道，确保车内有良好的通风换气效果，排风量应满足不同仪器的实际使用需求。</w:t>
      </w:r>
    </w:p>
    <w:p w14:paraId="2511214F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2)负压排风设计，确保有害气体（如试剂挥发物）定向排出，且对于有毒有害气体排风口应加装活性炭过滤器或HEPA滤网净化废气。</w:t>
      </w:r>
    </w:p>
    <w:p w14:paraId="175C74FC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3)排风系统应符合相关的安全标准和规范，能够有效防止有害气体积聚，降低火灾和爆炸等安全风险。对于可能产生易燃易爆气体的检测区域，应采用防爆型通风设备，并联动气体传感器自动启停。</w:t>
      </w:r>
    </w:p>
    <w:p w14:paraId="779D06AE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4)选用低噪音的排风扇和通风管道，减少排风系统运行时产生的噪音，避免对检测工作和周围环境造成干扰。</w:t>
      </w:r>
    </w:p>
    <w:p w14:paraId="55394276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4、空调通风系统</w:t>
      </w:r>
    </w:p>
    <w:p w14:paraId="74BF36A6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1)现场毒物标本检测车内安装冷暖空调，合理计算冷却量和加热量，确保车内温度满足精密仪器需求及实验工作正常展开。一般来说，检测区域的温度应保持在20℃-25℃，相对湿度在40%-60%之间。</w:t>
      </w:r>
    </w:p>
    <w:p w14:paraId="79083BAC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2)根据车辆的空间大小和设备发热量，选择合适功率的空调系统，确保在不同季节和环境条件下都能满足车内的温度调节需求。</w:t>
      </w:r>
    </w:p>
    <w:p w14:paraId="59A1E37A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3)空调系统的运行应平稳、安静，避免产生过大的噪音和震动，为工作人员提供舒适的工作环境。同时，空调出风口的位置和角度应合理设计，避免直接吹向检测设备和操作人员，干扰检测结果。</w:t>
      </w:r>
    </w:p>
    <w:p w14:paraId="2CD0FAFB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5、照明系统</w:t>
      </w:r>
    </w:p>
    <w:p w14:paraId="2A088DEB">
      <w:pPr>
        <w:tabs>
          <w:tab w:val="left" w:pos="3150"/>
        </w:tabs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1)为车内各个区域提供充足的照明，确保工作人员在不同的环境条件下都能清晰地进行检测操作、读取数据和记录信息。在检测区域、样品处理区域和仪器操作区域，应保证足够的光照强度。</w:t>
      </w:r>
    </w:p>
    <w:p w14:paraId="000980D2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2)照明光线应均匀分布，避免出现阴影和眩光，影响检测结果的准确性和工作人员的视觉舒适度。可采用多盏灯具组合或特殊的照明设计，实现光线的均匀照射。</w:t>
      </w:r>
    </w:p>
    <w:p w14:paraId="35C8714A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3)设置应急照明系统，在车辆停电或其他紧急情况下，能够自动启动，为车内提供必要的照明，确保工作人员能够继续进行关键的检测操作。</w:t>
      </w:r>
    </w:p>
    <w:p w14:paraId="6C792A53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4)选用节能型的照明灯具，如LED灯，以降低车辆的能耗。同时，照明灯具应具有较高的耐用性和稳定性，减少更换和维修的频率。</w:t>
      </w:r>
    </w:p>
    <w:p w14:paraId="2DA3EB08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6、中央控制系统</w:t>
      </w:r>
    </w:p>
    <w:p w14:paraId="7C8762AA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1)将车辆的各种设备和系统，如电路、水路、排风、空调、照明等，集成到一个中控系统中，实现集中控制和管理。通过中控系统，工作人员可以方便地对各个系统进行操作和调节，提高工作效率。</w:t>
      </w:r>
    </w:p>
    <w:p w14:paraId="716A81C5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2)中控系统的操作界面应简洁明了，易于操作。采用触摸屏、按钮等多种操作方式，方便工作人员在不同的位置和环境下进行操作。同时，应设置清晰的操作指南和提示信息，降低操作难度。</w:t>
      </w:r>
    </w:p>
    <w:p w14:paraId="4C67EEE9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3)能够实时监测车辆各系统的运行状态和相关数据，如电压、电流、温度、湿度等，并进行记录和存储。这些数据可以为车辆的维护保养、故障诊断和检测工作的质量控制提供参考依据。</w:t>
      </w:r>
    </w:p>
    <w:p w14:paraId="120502E2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7、保障设备</w:t>
      </w:r>
    </w:p>
    <w:p w14:paraId="445674A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现场毒物标本检测车内部设有操作实验台及保障用品，配备有烟雾报警器、灭火器、壁挂应急救援包等，以确保车内人员的安全及设备安全。车内设备备品和备件、随车工具和附件（如扳手、千斤顶、胎摇把、轮胎套筒、轴头套筒一套、备用胎等）均齐套。</w:t>
      </w:r>
    </w:p>
    <w:p w14:paraId="7CD27012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五、其他要求</w:t>
      </w:r>
    </w:p>
    <w:p w14:paraId="6D940763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1、供应商具备国家相关法律法规规定的合法经营资质，相关经营活动严格遵循国家现行法规及技术标准执行。</w:t>
      </w:r>
    </w:p>
    <w:p w14:paraId="72404AB7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改装后的车辆符合机动车登记管理相关要求，可正常办理车辆落户登记手续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8" w:name="_GoBack"/>
      <w:bookmarkEnd w:id="8"/>
    </w:p>
    <w:p w14:paraId="0A3EAED5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7EE99A5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AB68282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3250A9B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page"/>
      </w:r>
    </w:p>
    <w:tbl>
      <w:tblPr>
        <w:tblStyle w:val="6"/>
        <w:tblW w:w="8522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6"/>
        <w:gridCol w:w="2181"/>
        <w:gridCol w:w="1682"/>
        <w:gridCol w:w="2622"/>
        <w:gridCol w:w="1205"/>
      </w:tblGrid>
      <w:tr w14:paraId="391A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tblHeader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63F58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75CF6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CF7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车身颜色</w:t>
            </w:r>
          </w:p>
        </w:tc>
        <w:tc>
          <w:tcPr>
            <w:tcW w:w="5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721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ascii="微软雅黑" w:eastAsia="微软雅黑"/>
                <w:b/>
                <w:sz w:val="20"/>
                <w:lang w:val="en-US" w:eastAsia="zh-CN" w:bidi="ar"/>
              </w:rPr>
              <w:t>多选</w:t>
            </w:r>
          </w:p>
        </w:tc>
      </w:tr>
      <w:tr w14:paraId="5366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26D6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94CDD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E5AD6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外形尺寸（mm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）</w:t>
            </w:r>
          </w:p>
        </w:tc>
        <w:tc>
          <w:tcPr>
            <w:tcW w:w="5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E2A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ascii="微软雅黑" w:eastAsia="微软雅黑"/>
                <w:b w:val="0"/>
                <w:bCs w:val="0"/>
                <w:sz w:val="20"/>
                <w:lang w:val="en-US" w:eastAsia="zh-CN" w:bidi="ar"/>
              </w:rPr>
              <w:t>59</w:t>
            </w:r>
            <w:r>
              <w:rPr>
                <w:rStyle w:val="13"/>
                <w:rFonts w:ascii="微软雅黑" w:eastAsia="微软雅黑"/>
                <w:sz w:val="20"/>
                <w:lang w:val="en-US" w:eastAsia="zh-CN" w:bidi="ar"/>
              </w:rPr>
              <w:t>50X2450X3460(</w:t>
            </w:r>
            <w:r>
              <w:rPr>
                <w:rStyle w:val="14"/>
                <w:rFonts w:ascii="微软雅黑" w:eastAsia="微软雅黑"/>
                <w:sz w:val="20"/>
                <w:lang w:val="en-US" w:eastAsia="zh-CN" w:bidi="ar"/>
              </w:rPr>
              <w:t>以出厂实际尺寸为准</w:t>
            </w:r>
            <w:r>
              <w:rPr>
                <w:rStyle w:val="13"/>
                <w:rFonts w:ascii="微软雅黑" w:eastAsia="微软雅黑"/>
                <w:sz w:val="20"/>
                <w:lang w:val="en-US" w:eastAsia="zh-CN" w:bidi="ar"/>
              </w:rPr>
              <w:t>)</w:t>
            </w:r>
          </w:p>
        </w:tc>
      </w:tr>
      <w:tr w14:paraId="59CB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F0F9E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13ED6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C93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整备质量(kg)</w:t>
            </w:r>
          </w:p>
        </w:tc>
        <w:tc>
          <w:tcPr>
            <w:tcW w:w="16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C4D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26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A9B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总质量(kg) </w:t>
            </w:r>
          </w:p>
        </w:tc>
        <w:tc>
          <w:tcPr>
            <w:tcW w:w="1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AE1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6495</w:t>
            </w:r>
          </w:p>
        </w:tc>
      </w:tr>
      <w:tr w14:paraId="1E2A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45A09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98060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3C2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轴距（mm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BCF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CF1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内部高度（mm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992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</w:tr>
      <w:tr w14:paraId="70E6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41F24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1BD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1A0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轮胎规格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6C2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7.50R16LT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C134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6B1E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9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38DBF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D633E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65F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发动机型号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170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WP3NQ170E62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011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排量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10F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3.0T</w:t>
            </w:r>
          </w:p>
        </w:tc>
      </w:tr>
      <w:tr w14:paraId="7C33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B173A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99CBB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AAB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功率（KW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C4C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6BF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马力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EDC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</w:tr>
      <w:tr w14:paraId="3EC3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0BFD7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D907F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E40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实际最高车速（KM/H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A4C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935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扭矩（N.M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660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704F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805CE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F1C38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D89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排放标准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CE9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国六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248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油箱容积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265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190L</w:t>
            </w:r>
          </w:p>
        </w:tc>
      </w:tr>
      <w:tr w14:paraId="5E1E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9940F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02A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29A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尿素箱容积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CFF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25L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654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燃油类型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91F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</w:tr>
      <w:tr w14:paraId="2200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DEBFF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2A58E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FD8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转向助力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EE8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液压助力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ECB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制动方式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041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气制动</w:t>
            </w:r>
          </w:p>
        </w:tc>
      </w:tr>
      <w:tr w14:paraId="53A6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003F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</w:t>
            </w: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0AAC8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AE8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前悬挂方式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954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4个空气悬挂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8F0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后悬挂方式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73B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钢板弹簧</w:t>
            </w:r>
          </w:p>
        </w:tc>
      </w:tr>
      <w:tr w14:paraId="386B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45219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1C99D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B20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8AT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自动挡变速箱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C6B7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30D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8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（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AT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9316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3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66AAC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0A2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DEA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车体结构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4E7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贯通大梁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7B3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驱动形式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76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前置后驱后双胎</w:t>
            </w:r>
          </w:p>
        </w:tc>
      </w:tr>
      <w:tr w14:paraId="2C71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964D0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2CC5D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552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前排电动车窗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2A7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393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84F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</w:tr>
      <w:tr w14:paraId="07FD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A068E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35E26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80C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中控门锁+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遥控钥匙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17F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67B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铝轮毂真空胎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912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</w:tr>
      <w:tr w14:paraId="77FE1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E9EC8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9982B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750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定速巡航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F43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643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智能钥匙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881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</w:tr>
      <w:tr w14:paraId="5169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AD862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B383F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BFD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安全带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BE6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381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喇叭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D6E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</w:tr>
      <w:tr w14:paraId="2665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FDBAE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4BB58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</w:t>
            </w:r>
          </w:p>
          <w:p w14:paraId="6B1D10A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472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倒车雷达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22D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0E0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电动带加热外后视镜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56F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</w:tr>
      <w:tr w14:paraId="2363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C97F1A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DF1C5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293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lang w:val="en-US" w:eastAsia="zh-CN" w:bidi="ar"/>
              </w:rPr>
              <w:t>家具、水</w:t>
            </w: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>路、电路系统</w:t>
            </w:r>
          </w:p>
        </w:tc>
      </w:tr>
      <w:tr w14:paraId="2E1D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E4FA49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52F6D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A22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专用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E0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环保型板材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25F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2F03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微软雅黑" w:eastAsia="微软雅黑"/>
                <w:sz w:val="20"/>
                <w:lang w:val="en-US" w:eastAsia="zh-CN" w:bidi="ar"/>
              </w:rPr>
              <w:t>1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000W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太阳能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19E57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</w:tr>
      <w:tr w14:paraId="227A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3BC756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</w:t>
            </w: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4C246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349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加强隔音降噪处理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 xml:space="preserve">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BA1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E567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进口隔膜式水泵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A0F97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</w:tr>
      <w:tr w14:paraId="48D2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C08099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538B7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85B0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中上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门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/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纱门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EF2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81E6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32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寸液晶电视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BAC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D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67718C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923FB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CBD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42424"/>
                <w:sz w:val="20"/>
                <w:szCs w:val="20"/>
                <w:u w:val="none"/>
              </w:rPr>
            </w:pPr>
            <w:r>
              <w:rPr>
                <w:rStyle w:val="17"/>
                <w:rFonts w:ascii="微软雅黑" w:eastAsia="微软雅黑"/>
                <w:sz w:val="20"/>
                <w:lang w:val="en-US" w:eastAsia="zh-CN" w:bidi="ar"/>
              </w:rPr>
              <w:t>主副驾座椅（重汽原厂）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BF5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9F55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双电瓶隔离器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+40A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漏电保护器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298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</w:tr>
      <w:tr w14:paraId="3B5A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89B31A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D38A3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DA0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耐磨地板革防水承重板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 xml:space="preserve">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2C6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AA3F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ascii="微软雅黑" w:eastAsia="微软雅黑"/>
                <w:sz w:val="20"/>
                <w:lang w:val="en-US" w:eastAsia="zh-CN" w:bidi="ar"/>
              </w:rPr>
              <w:t>倒车影像</w:t>
            </w:r>
            <w:r>
              <w:rPr>
                <w:rStyle w:val="18"/>
                <w:rFonts w:ascii="微软雅黑" w:eastAsia="微软雅黑"/>
                <w:sz w:val="20"/>
                <w:lang w:val="en-US" w:eastAsia="zh-CN" w:bidi="ar"/>
              </w:rPr>
              <w:t>+6</w:t>
            </w:r>
            <w:r>
              <w:rPr>
                <w:rStyle w:val="17"/>
                <w:rFonts w:ascii="微软雅黑" w:eastAsia="微软雅黑"/>
                <w:sz w:val="20"/>
                <w:lang w:val="en-US" w:eastAsia="zh-CN" w:bidi="ar"/>
              </w:rPr>
              <w:t>路监控外</w:t>
            </w:r>
            <w:r>
              <w:rPr>
                <w:rStyle w:val="18"/>
                <w:rFonts w:ascii="微软雅黑" w:eastAsia="微软雅黑"/>
                <w:sz w:val="20"/>
                <w:lang w:val="en-US" w:eastAsia="zh-CN" w:bidi="ar"/>
              </w:rPr>
              <w:t>4内2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17150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3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restart"/>
            <w:tcBorders>
              <w:top w:val="nil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0345DD1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装</w:t>
            </w: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0DD2E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A071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超声洗手池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06A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DE47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清水箱约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300L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964CE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排水阀</w:t>
            </w:r>
          </w:p>
        </w:tc>
      </w:tr>
      <w:tr w14:paraId="2E6B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AE9906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8BBE8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BC86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额头床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0F7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B1A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污水箱约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80L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49B5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排水阀</w:t>
            </w:r>
          </w:p>
        </w:tc>
      </w:tr>
      <w:tr w14:paraId="6539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4CC912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</w:t>
            </w: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FD306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5349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42424"/>
                <w:sz w:val="20"/>
                <w:szCs w:val="20"/>
                <w:u w:val="none"/>
              </w:rPr>
            </w:pP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豪华按键开关面板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6A3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161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360" w:lineRule="auto"/>
              <w:ind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42424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6000W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正弦波逆变器金美特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F67F6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</w:tr>
      <w:tr w14:paraId="48BD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913D2D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9C8F7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33AE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气动升降桌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A42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63E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360" w:lineRule="auto"/>
              <w:ind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220V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市电输入插座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+20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米电源线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8956B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</w:tr>
      <w:tr w14:paraId="7C2AD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50E822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CD36B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B44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安全锤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+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烟雾报警器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5E6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DF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360" w:lineRule="auto"/>
              <w:ind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rFonts w:ascii="微软雅黑" w:eastAsia="微软雅黑"/>
                <w:sz w:val="20"/>
                <w:lang w:val="en-US" w:eastAsia="zh-CN" w:bidi="ar"/>
              </w:rPr>
              <w:t>24V 600AH</w:t>
            </w:r>
            <w:r>
              <w:rPr>
                <w:rStyle w:val="17"/>
                <w:rFonts w:ascii="微软雅黑" w:eastAsia="微软雅黑"/>
                <w:sz w:val="20"/>
                <w:lang w:val="en-US" w:eastAsia="zh-CN" w:bidi="ar"/>
              </w:rPr>
              <w:t>铁锂电池（旭耀）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EAC3C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</w:tr>
      <w:tr w14:paraId="18BA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1D101E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5D01A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3A9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顶部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换气扇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C3A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127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360" w:lineRule="auto"/>
              <w:ind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220V12V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输出插座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+USB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6EAA4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</w:tr>
      <w:tr w14:paraId="5651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D7777E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155E4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FC05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遮阳棚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+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户外照明灯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0C7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615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360" w:lineRule="auto"/>
              <w:ind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42424"/>
                <w:kern w:val="0"/>
                <w:sz w:val="20"/>
                <w:szCs w:val="20"/>
                <w:u w:val="none"/>
                <w:lang w:val="en-US" w:eastAsia="zh-CN" w:bidi="ar"/>
              </w:rPr>
              <w:t>前保险杠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496E3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</w:tr>
      <w:tr w14:paraId="6D6B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02F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</w:t>
            </w: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07D95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8425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220V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家用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>1.5P</w:t>
            </w:r>
            <w:r>
              <w:rPr>
                <w:rStyle w:val="11"/>
                <w:rFonts w:ascii="微软雅黑" w:eastAsia="微软雅黑"/>
                <w:sz w:val="20"/>
                <w:lang w:val="en-US" w:eastAsia="zh-CN" w:bidi="ar"/>
              </w:rPr>
              <w:t>空调（</w:t>
            </w:r>
            <w:r>
              <w:rPr>
                <w:rStyle w:val="10"/>
                <w:rFonts w:ascii="微软雅黑" w:eastAsia="微软雅黑"/>
                <w:sz w:val="20"/>
                <w:lang w:val="en-US" w:eastAsia="zh-CN" w:bidi="ar"/>
              </w:rPr>
              <w:t xml:space="preserve">TCL)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573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71C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360" w:lineRule="auto"/>
              <w:ind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42424"/>
                <w:sz w:val="20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4个探照灯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78E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</w:tr>
      <w:tr w14:paraId="0A40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D77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A33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5EC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42424"/>
                <w:kern w:val="0"/>
                <w:sz w:val="20"/>
                <w:szCs w:val="20"/>
                <w:u w:val="none"/>
                <w:lang w:val="en-US" w:eastAsia="zh-CN" w:bidi="ar"/>
              </w:rPr>
              <w:t>24V冰箱（120L）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59C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615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0C3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5E221D5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C683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F8F1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5F8F1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275A"/>
    <w:rsid w:val="0BEF70FA"/>
    <w:rsid w:val="0CC9374C"/>
    <w:rsid w:val="10C761F4"/>
    <w:rsid w:val="11407D54"/>
    <w:rsid w:val="122136E2"/>
    <w:rsid w:val="12744159"/>
    <w:rsid w:val="12B612FD"/>
    <w:rsid w:val="131B2827"/>
    <w:rsid w:val="15D373E9"/>
    <w:rsid w:val="18394C12"/>
    <w:rsid w:val="1A6745A4"/>
    <w:rsid w:val="1DA022A7"/>
    <w:rsid w:val="271B0BF0"/>
    <w:rsid w:val="2A157420"/>
    <w:rsid w:val="2BCC070B"/>
    <w:rsid w:val="2CD45AC9"/>
    <w:rsid w:val="2CF36971"/>
    <w:rsid w:val="2D8079FF"/>
    <w:rsid w:val="2F4325CD"/>
    <w:rsid w:val="306B7B85"/>
    <w:rsid w:val="3D314871"/>
    <w:rsid w:val="40152228"/>
    <w:rsid w:val="40864ED4"/>
    <w:rsid w:val="418E2292"/>
    <w:rsid w:val="467A1037"/>
    <w:rsid w:val="471F1BDF"/>
    <w:rsid w:val="4ADF3B5F"/>
    <w:rsid w:val="53EF4EEE"/>
    <w:rsid w:val="575B27BF"/>
    <w:rsid w:val="5813309A"/>
    <w:rsid w:val="58E6255C"/>
    <w:rsid w:val="5BC052E6"/>
    <w:rsid w:val="62487DE4"/>
    <w:rsid w:val="677376B1"/>
    <w:rsid w:val="6D635AD2"/>
    <w:rsid w:val="6D995997"/>
    <w:rsid w:val="6E881C94"/>
    <w:rsid w:val="71145A61"/>
    <w:rsid w:val="74BD640F"/>
    <w:rsid w:val="760D6F22"/>
    <w:rsid w:val="77D4734E"/>
    <w:rsid w:val="78BE3412"/>
    <w:rsid w:val="79876FEC"/>
    <w:rsid w:val="7C4F2043"/>
    <w:rsid w:val="7CD65064"/>
    <w:rsid w:val="7D2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24"/>
      <w:szCs w:val="36"/>
      <w:lang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1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5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4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16">
    <w:name w:val="font112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121"/>
    <w:basedOn w:val="7"/>
    <w:qFormat/>
    <w:uiPriority w:val="0"/>
    <w:rPr>
      <w:rFonts w:hint="eastAsia" w:ascii="宋体" w:hAnsi="宋体" w:eastAsia="宋体" w:cs="宋体"/>
      <w:color w:val="242424"/>
      <w:sz w:val="20"/>
      <w:szCs w:val="20"/>
      <w:u w:val="none"/>
    </w:rPr>
  </w:style>
  <w:style w:type="character" w:customStyle="1" w:styleId="18">
    <w:name w:val="font61"/>
    <w:basedOn w:val="7"/>
    <w:qFormat/>
    <w:uiPriority w:val="0"/>
    <w:rPr>
      <w:rFonts w:hint="eastAsia" w:ascii="微软雅黑" w:hAnsi="微软雅黑" w:eastAsia="微软雅黑" w:cs="微软雅黑"/>
      <w:color w:val="242424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4246</Words>
  <Characters>4502</Characters>
  <Lines>0</Lines>
  <Paragraphs>0</Paragraphs>
  <TotalTime>70</TotalTime>
  <ScaleCrop>false</ScaleCrop>
  <LinksUpToDate>false</LinksUpToDate>
  <CharactersWithSpaces>4521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2026-01-19T00:22:00Z</dcterms:created>
  <dc:creator>Administrator</dc:creator>
  <cp:lastModifiedBy>加加减</cp:lastModifiedBy>
  <cp:lastPrinted>2026-01-19T00:32:00Z</cp:lastPrinted>
  <dcterms:modified xsi:type="dcterms:W3CDTF">2026-01-27T09:18:39Z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eyJoZGlkIjoiZTMwNDg0Njg2NjZlMDg1NjczMTA3YWUxZmI2M2E1NzQiLCJ1c2VySWQiOiIxMDMxMjMxMzM3In0=</vt:lpwstr>
  </property>
  <property fmtid="{D5CDD505-2E9C-101B-9397-08002B2CF9AE}" pid="4" name="ICV">
    <vt:lpwstr>CCF18EE324264ED180E9AABE9A06468E_12</vt:lpwstr>
  </property>
</Properties>
</file>