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B4B3B">
      <w:pPr>
        <w:autoSpaceDE w:val="0"/>
        <w:autoSpaceDN w:val="0"/>
        <w:snapToGrid w:val="0"/>
        <w:spacing w:after="312" w:afterLines="100" w:line="660" w:lineRule="exact"/>
        <w:jc w:val="center"/>
        <w:rPr>
          <w:rFonts w:hint="eastAsia" w:ascii="方正小标宋_GBK" w:hAnsi="方正小标宋_GBK" w:eastAsia="方正小标宋_GBK" w:cs="宋体"/>
          <w:sz w:val="44"/>
          <w:szCs w:val="44"/>
          <w:lang w:val="zh-CN"/>
        </w:rPr>
      </w:pPr>
      <w:r>
        <w:rPr>
          <w:rFonts w:hint="eastAsia" w:ascii="方正小标宋_GBK" w:hAnsi="方正小标宋_GBK" w:eastAsia="方正小标宋_GBK" w:cs="宋体"/>
          <w:sz w:val="44"/>
          <w:szCs w:val="44"/>
          <w:lang w:val="zh-CN"/>
        </w:rPr>
        <w:t>陪护服务项目采购需求</w:t>
      </w:r>
    </w:p>
    <w:p w14:paraId="6A2E94AA">
      <w:pPr>
        <w:autoSpaceDE w:val="0"/>
        <w:autoSpaceDN w:val="0"/>
        <w:adjustRightInd w:val="0"/>
        <w:snapToGrid w:val="0"/>
        <w:spacing w:line="560" w:lineRule="exact"/>
        <w:ind w:firstLine="640" w:firstLineChars="200"/>
        <w:rPr>
          <w:rFonts w:hint="eastAsia" w:ascii="方正黑体_GBK" w:hAnsi="方正仿宋_GBK" w:eastAsia="方正黑体_GBK" w:cs="宋体"/>
          <w:sz w:val="32"/>
          <w:szCs w:val="32"/>
          <w:lang w:val="zh-CN"/>
        </w:rPr>
      </w:pPr>
      <w:r>
        <w:rPr>
          <w:rFonts w:hint="eastAsia" w:ascii="方正黑体_GBK" w:hAnsi="方正仿宋_GBK" w:eastAsia="方正黑体_GBK" w:cs="宋体"/>
          <w:sz w:val="32"/>
          <w:szCs w:val="32"/>
          <w:lang w:val="zh-CN"/>
        </w:rPr>
        <w:t>一、服务要求</w:t>
      </w:r>
    </w:p>
    <w:p w14:paraId="5C091743">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1、投标方须具有符合国家规定的相关经营证照，陪护人员须进行岗前培训，并取得专业培训机构颁发的陪护培训合格证书，方能从事陪护工作。</w:t>
      </w:r>
    </w:p>
    <w:p w14:paraId="7C54829E">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2、投标方按需向患者提供各类专业、规范、收费合理的陪护服务，并签订服务协议，明确双方的责权利。收费标准应上墙公示，服务价格不得超出同地区、同级医院陪护服务收费标准。</w:t>
      </w:r>
    </w:p>
    <w:p w14:paraId="69F18B42">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3、投标方陪护人员应统一着装，佩戴胸牌上岗，着装应整洁得体（女陪护人员不得披散头发，不得染指甲、佩戴首饰）。妥善解决服务对象的投诉，满足患者的合理诉求，提升陪护服务满意度。</w:t>
      </w:r>
    </w:p>
    <w:p w14:paraId="0D8AA405">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4、投标方须自觉接受院方监督管理，及时整改工作出现的问题和隐患。如拒不服从监管，院方有权提出书面警告，同一问题连续两次或不同问题三次及以上仍不整改，院方有权终止合同。</w:t>
      </w:r>
    </w:p>
    <w:p w14:paraId="1AC2FF34">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5、投标方须具有成熟的服务模式（包括免陪照护服务）及完善的服务流程、建立服务质量考评机制，明确考评内容和考评方式，定期对陪护人员的职业道德、服务态度、工作质量进行考评，对考评不合格的人员，不得派驻院方工作。</w:t>
      </w:r>
    </w:p>
    <w:p w14:paraId="5C4E222A">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6、投标方须严格按照国家、省、市、区的法律法规，以及医院的规章制度开展病人陪护工作，因开展本合同项下陪护服务所产生的权利义务、风险及责任由投标方自行承担。</w:t>
      </w:r>
    </w:p>
    <w:p w14:paraId="521A8F8B">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7、投标方所聘用的人员与医院无任何劳动合同关系，投标方应自行负责其工作人员的人身安全、工伤、职业暴露及其它风险，并为员工购买意外伤害及其它保险，确保服务安全，如投标方怠于履行义务，造成服务对象、院方、投标方工作人员或任何第三方人身、财产损失的，由此而产生的责任由投标方承担。</w:t>
      </w:r>
    </w:p>
    <w:p w14:paraId="3912F7DD">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8、投标方聘用人员的年龄须满足男18-60岁，女18-55岁，上岗前在二级及以上医院体检合格、办理健康证，上岗后应每年体检，患有传染性疾病等不适宜从事陪护工作的人员，不得从事陪护工作。</w:t>
      </w:r>
    </w:p>
    <w:p w14:paraId="664973C3">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9、投标方应依法依规开展陪护工作，以优质服务赢得患者的信任和支持，通过合法合规的途径解决矛盾和纠纷。陪护人员须态度和蔼、言语文明、服务耐心细致，具备“爱心、关心、热心、耐心”。严禁在院内发生争吵、起哄、打斗、吸烟、使用明火或违章电器等行为，严禁向病人或家属索要财物，不得在病房内会客、洗衣、晾晒、大声喧哗或从事与陪护无关的活动，不得翻阅医疗文件或参与医疗行为，不得迟到、早退、脱岗，确保医院正常工作秩序与环境不受干扰。</w:t>
      </w:r>
    </w:p>
    <w:p w14:paraId="25B6DDAE">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10、投标方须严格遵守和执行感染控制、消防等相关规定和要求，每半年组织员工开展一次包括感染控制及消防安全在内的综合培训学习，并有书面记录。</w:t>
      </w:r>
    </w:p>
    <w:p w14:paraId="7CC2B7DC">
      <w:pPr>
        <w:adjustRightInd w:val="0"/>
        <w:snapToGrid w:val="0"/>
        <w:spacing w:line="560" w:lineRule="exact"/>
        <w:ind w:firstLine="640" w:firstLineChars="200"/>
        <w:rPr>
          <w:rFonts w:hint="eastAsia" w:ascii="方正仿宋_GBK" w:hAnsi="方正仿宋_GBK" w:eastAsia="方正仿宋_GBK" w:cs="Arial"/>
          <w:kern w:val="0"/>
          <w:sz w:val="32"/>
          <w:szCs w:val="32"/>
        </w:rPr>
      </w:pPr>
      <w:r>
        <w:rPr>
          <w:rFonts w:hint="eastAsia" w:ascii="方正仿宋_GBK" w:hAnsi="方正仿宋_GBK" w:eastAsia="方正仿宋_GBK" w:cs="Arial"/>
          <w:kern w:val="0"/>
          <w:sz w:val="32"/>
          <w:szCs w:val="32"/>
        </w:rPr>
        <w:t>11、陪护服务质量标准：（1）、陪护工作应做到使病人保持“三短”（指甲、胡须、头发短）、“六洁”（口腔、脸、头发、手足、皮肤、会阴），并确保“五无”（无压疮、无坠床、无跌倒、无烫伤、无管道滑脱）。（2）、保持病房整洁、安静、空气清新、物品有序。工作中做到“四轻”（说话轻、走路轻、关门轻、操作轻），努力实现“五个一样”（领导在与不在一个样、白天晚上一个样、生人熟人一个样、家属在与不在一个样、忙时闲时一个样）。（3）、按要求协助病人服药、进行生活护理及活动，及时清洁消毒卧床病人便器，发现问题及时报告医护人员。</w:t>
      </w:r>
    </w:p>
    <w:p w14:paraId="5215489D">
      <w:pPr>
        <w:adjustRightInd w:val="0"/>
        <w:snapToGrid w:val="0"/>
        <w:spacing w:line="560" w:lineRule="exact"/>
        <w:ind w:firstLine="640" w:firstLineChars="200"/>
        <w:rPr>
          <w:rFonts w:hint="eastAsia" w:ascii="方正仿宋_GBK" w:hAnsi="方正仿宋_GBK" w:eastAsia="方正仿宋_GBK" w:cstheme="minorEastAsia"/>
          <w:b/>
          <w:sz w:val="32"/>
          <w:szCs w:val="32"/>
        </w:rPr>
      </w:pPr>
      <w:bookmarkStart w:id="0" w:name="_GoBack"/>
      <w:bookmarkEnd w:id="0"/>
      <w:r>
        <w:rPr>
          <w:rFonts w:hint="eastAsia" w:ascii="方正黑体_GBK" w:hAnsi="方正仿宋_GBK" w:eastAsia="方正黑体_GBK" w:cstheme="minorEastAsia"/>
          <w:bCs/>
          <w:sz w:val="32"/>
          <w:szCs w:val="32"/>
        </w:rPr>
        <w:t>二、服务期限：</w:t>
      </w:r>
      <w:r>
        <w:rPr>
          <w:rFonts w:hint="eastAsia" w:ascii="方正仿宋_GBK" w:hAnsi="方正仿宋_GBK" w:eastAsia="方正仿宋_GBK" w:cstheme="minorEastAsia"/>
          <w:sz w:val="32"/>
          <w:szCs w:val="32"/>
        </w:rPr>
        <w:t>三年</w:t>
      </w:r>
    </w:p>
    <w:p w14:paraId="0540338D">
      <w:pPr>
        <w:rPr>
          <w:rFonts w:hint="eastAsia" w:ascii="方正仿宋_GBK" w:hAns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815"/>
    <w:rsid w:val="00012646"/>
    <w:rsid w:val="00020660"/>
    <w:rsid w:val="0002185D"/>
    <w:rsid w:val="0002692F"/>
    <w:rsid w:val="00027192"/>
    <w:rsid w:val="00060D3B"/>
    <w:rsid w:val="00077A90"/>
    <w:rsid w:val="000838E6"/>
    <w:rsid w:val="00087123"/>
    <w:rsid w:val="00096ADA"/>
    <w:rsid w:val="000B4A10"/>
    <w:rsid w:val="000E524B"/>
    <w:rsid w:val="000F2E99"/>
    <w:rsid w:val="000F7EF8"/>
    <w:rsid w:val="00100008"/>
    <w:rsid w:val="00104C20"/>
    <w:rsid w:val="00113169"/>
    <w:rsid w:val="00115043"/>
    <w:rsid w:val="001219AF"/>
    <w:rsid w:val="00146D05"/>
    <w:rsid w:val="00162EAE"/>
    <w:rsid w:val="00190572"/>
    <w:rsid w:val="00192FB7"/>
    <w:rsid w:val="001956A7"/>
    <w:rsid w:val="00195737"/>
    <w:rsid w:val="001A0177"/>
    <w:rsid w:val="001A3F6D"/>
    <w:rsid w:val="001A6358"/>
    <w:rsid w:val="001B1BEE"/>
    <w:rsid w:val="001B34D8"/>
    <w:rsid w:val="001D06B3"/>
    <w:rsid w:val="001E6FFF"/>
    <w:rsid w:val="001F12D1"/>
    <w:rsid w:val="0020243E"/>
    <w:rsid w:val="00212EB6"/>
    <w:rsid w:val="00216560"/>
    <w:rsid w:val="00285B79"/>
    <w:rsid w:val="002972A4"/>
    <w:rsid w:val="002A3427"/>
    <w:rsid w:val="002A410A"/>
    <w:rsid w:val="002D4DC2"/>
    <w:rsid w:val="002E2622"/>
    <w:rsid w:val="002F6967"/>
    <w:rsid w:val="00325C59"/>
    <w:rsid w:val="0033587D"/>
    <w:rsid w:val="003470FB"/>
    <w:rsid w:val="00351C57"/>
    <w:rsid w:val="00371E83"/>
    <w:rsid w:val="00372595"/>
    <w:rsid w:val="00382D85"/>
    <w:rsid w:val="003A05CD"/>
    <w:rsid w:val="003A1567"/>
    <w:rsid w:val="003A64C4"/>
    <w:rsid w:val="003B274D"/>
    <w:rsid w:val="003B33B2"/>
    <w:rsid w:val="003F2CBA"/>
    <w:rsid w:val="003F5F33"/>
    <w:rsid w:val="00404054"/>
    <w:rsid w:val="0040473E"/>
    <w:rsid w:val="00417A9F"/>
    <w:rsid w:val="004259C0"/>
    <w:rsid w:val="00430200"/>
    <w:rsid w:val="00441EA7"/>
    <w:rsid w:val="00452A80"/>
    <w:rsid w:val="004735F2"/>
    <w:rsid w:val="00481E5F"/>
    <w:rsid w:val="0048337D"/>
    <w:rsid w:val="004A0FAD"/>
    <w:rsid w:val="004B0F69"/>
    <w:rsid w:val="004C16C9"/>
    <w:rsid w:val="004C2B74"/>
    <w:rsid w:val="004D2CBC"/>
    <w:rsid w:val="004E3959"/>
    <w:rsid w:val="004F0D92"/>
    <w:rsid w:val="00506519"/>
    <w:rsid w:val="00523C48"/>
    <w:rsid w:val="00532C1B"/>
    <w:rsid w:val="00533439"/>
    <w:rsid w:val="00540043"/>
    <w:rsid w:val="005566FC"/>
    <w:rsid w:val="00565DA9"/>
    <w:rsid w:val="005713EC"/>
    <w:rsid w:val="00573BBE"/>
    <w:rsid w:val="005C26A0"/>
    <w:rsid w:val="005E3F93"/>
    <w:rsid w:val="005E6825"/>
    <w:rsid w:val="006022C5"/>
    <w:rsid w:val="00602546"/>
    <w:rsid w:val="00606E09"/>
    <w:rsid w:val="00630649"/>
    <w:rsid w:val="0063092D"/>
    <w:rsid w:val="00631466"/>
    <w:rsid w:val="0063732F"/>
    <w:rsid w:val="006715F6"/>
    <w:rsid w:val="00695815"/>
    <w:rsid w:val="006B734D"/>
    <w:rsid w:val="006E0C47"/>
    <w:rsid w:val="006E0D6C"/>
    <w:rsid w:val="006E1C9E"/>
    <w:rsid w:val="006E220F"/>
    <w:rsid w:val="007006A1"/>
    <w:rsid w:val="00703736"/>
    <w:rsid w:val="00714B3C"/>
    <w:rsid w:val="007365D9"/>
    <w:rsid w:val="007432E6"/>
    <w:rsid w:val="007576A7"/>
    <w:rsid w:val="00770F50"/>
    <w:rsid w:val="00784F1D"/>
    <w:rsid w:val="0079324A"/>
    <w:rsid w:val="00797B4A"/>
    <w:rsid w:val="007B1EE2"/>
    <w:rsid w:val="007C4262"/>
    <w:rsid w:val="007C536A"/>
    <w:rsid w:val="007F3D7B"/>
    <w:rsid w:val="0081048E"/>
    <w:rsid w:val="0081384F"/>
    <w:rsid w:val="008171E7"/>
    <w:rsid w:val="0085414B"/>
    <w:rsid w:val="008541ED"/>
    <w:rsid w:val="0088026B"/>
    <w:rsid w:val="0088677F"/>
    <w:rsid w:val="00892987"/>
    <w:rsid w:val="008A5AB0"/>
    <w:rsid w:val="008B2480"/>
    <w:rsid w:val="008B55C1"/>
    <w:rsid w:val="008C31E1"/>
    <w:rsid w:val="008E1137"/>
    <w:rsid w:val="008E60E5"/>
    <w:rsid w:val="008F41C0"/>
    <w:rsid w:val="008F545F"/>
    <w:rsid w:val="00901D33"/>
    <w:rsid w:val="0090299D"/>
    <w:rsid w:val="00932389"/>
    <w:rsid w:val="00953047"/>
    <w:rsid w:val="00957F43"/>
    <w:rsid w:val="0096123C"/>
    <w:rsid w:val="00996F71"/>
    <w:rsid w:val="009A1903"/>
    <w:rsid w:val="009A2F09"/>
    <w:rsid w:val="009A6AFA"/>
    <w:rsid w:val="009C0A76"/>
    <w:rsid w:val="009C33EB"/>
    <w:rsid w:val="00A44227"/>
    <w:rsid w:val="00A47EE9"/>
    <w:rsid w:val="00A66DC6"/>
    <w:rsid w:val="00A821A2"/>
    <w:rsid w:val="00A922DF"/>
    <w:rsid w:val="00A94CFA"/>
    <w:rsid w:val="00AC433C"/>
    <w:rsid w:val="00AC51A8"/>
    <w:rsid w:val="00AC6B68"/>
    <w:rsid w:val="00B0425F"/>
    <w:rsid w:val="00B07469"/>
    <w:rsid w:val="00B115AC"/>
    <w:rsid w:val="00B370B7"/>
    <w:rsid w:val="00B537DD"/>
    <w:rsid w:val="00B67B2E"/>
    <w:rsid w:val="00B70B25"/>
    <w:rsid w:val="00B728B1"/>
    <w:rsid w:val="00B8561D"/>
    <w:rsid w:val="00B94DD5"/>
    <w:rsid w:val="00BD686D"/>
    <w:rsid w:val="00BE3698"/>
    <w:rsid w:val="00C06FDF"/>
    <w:rsid w:val="00C31CCF"/>
    <w:rsid w:val="00C3207A"/>
    <w:rsid w:val="00C70DD5"/>
    <w:rsid w:val="00C71BC2"/>
    <w:rsid w:val="00C760CE"/>
    <w:rsid w:val="00C77BE6"/>
    <w:rsid w:val="00C97A48"/>
    <w:rsid w:val="00CA6CAC"/>
    <w:rsid w:val="00CA78D3"/>
    <w:rsid w:val="00CE18B4"/>
    <w:rsid w:val="00CE36A8"/>
    <w:rsid w:val="00CE41BD"/>
    <w:rsid w:val="00CF2E39"/>
    <w:rsid w:val="00D0651A"/>
    <w:rsid w:val="00D20B25"/>
    <w:rsid w:val="00D368E3"/>
    <w:rsid w:val="00D65480"/>
    <w:rsid w:val="00D65D0C"/>
    <w:rsid w:val="00D66B5C"/>
    <w:rsid w:val="00D85CFD"/>
    <w:rsid w:val="00DC7A18"/>
    <w:rsid w:val="00DD45C5"/>
    <w:rsid w:val="00E75503"/>
    <w:rsid w:val="00E947A8"/>
    <w:rsid w:val="00EA2710"/>
    <w:rsid w:val="00EB40D2"/>
    <w:rsid w:val="00EC0283"/>
    <w:rsid w:val="00EC0B62"/>
    <w:rsid w:val="00ED4A5D"/>
    <w:rsid w:val="00ED6E3A"/>
    <w:rsid w:val="00EE1207"/>
    <w:rsid w:val="00EE6706"/>
    <w:rsid w:val="00F045F0"/>
    <w:rsid w:val="00F2216A"/>
    <w:rsid w:val="00F245FA"/>
    <w:rsid w:val="00F272CB"/>
    <w:rsid w:val="00F35773"/>
    <w:rsid w:val="00F35FAF"/>
    <w:rsid w:val="00F57D16"/>
    <w:rsid w:val="00F618BE"/>
    <w:rsid w:val="00F850F4"/>
    <w:rsid w:val="00F85455"/>
    <w:rsid w:val="00F9607B"/>
    <w:rsid w:val="00FC5CD9"/>
    <w:rsid w:val="00FD2004"/>
    <w:rsid w:val="00FD3167"/>
    <w:rsid w:val="00FD64CF"/>
    <w:rsid w:val="00FE02F0"/>
    <w:rsid w:val="00FF09AB"/>
    <w:rsid w:val="1EF0150B"/>
    <w:rsid w:val="2C856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3">
    <w:name w:val="heading 1"/>
    <w:basedOn w:val="1"/>
    <w:next w:val="1"/>
    <w:link w:val="23"/>
    <w:qFormat/>
    <w:uiPriority w:val="0"/>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0"/>
    <w:qFormat/>
    <w:uiPriority w:val="0"/>
    <w:pPr>
      <w:keepNext/>
      <w:keepLines/>
      <w:spacing w:before="260" w:after="260" w:line="416" w:lineRule="auto"/>
      <w:outlineLvl w:val="2"/>
    </w:pPr>
    <w:rPr>
      <w:rFonts w:eastAsia="仿宋_GB2312"/>
      <w:b/>
      <w:bCs/>
      <w:sz w:val="32"/>
      <w:szCs w:val="32"/>
    </w:rPr>
  </w:style>
  <w:style w:type="paragraph" w:styleId="2">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37609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376092" w:themeColor="accent1" w:themeShade="BF"/>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snapToGrid w:val="0"/>
      <w:spacing w:line="300" w:lineRule="auto"/>
      <w:ind w:firstLine="556"/>
    </w:pPr>
    <w:rPr>
      <w:rFonts w:ascii="仿宋_GB2312" w:hAnsi="宋体" w:eastAsia="仿宋_GB2312" w:cs="宋体"/>
      <w:kern w:val="0"/>
    </w:rPr>
  </w:style>
  <w:style w:type="paragraph" w:styleId="12">
    <w:name w:val="Body Text"/>
    <w:basedOn w:val="1"/>
    <w:link w:val="22"/>
    <w:qFormat/>
    <w:uiPriority w:val="0"/>
    <w:pPr>
      <w:spacing w:after="120"/>
    </w:pPr>
    <w:rPr>
      <w:sz w:val="32"/>
      <w:szCs w:val="20"/>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1"/>
    <w:qFormat/>
    <w:uiPriority w:val="10"/>
    <w:pPr>
      <w:spacing w:before="240" w:after="60"/>
      <w:jc w:val="center"/>
      <w:outlineLvl w:val="0"/>
    </w:pPr>
    <w:rPr>
      <w:rFonts w:ascii="Cambria" w:hAnsi="Cambria"/>
      <w:bCs/>
      <w:sz w:val="18"/>
      <w:szCs w:val="32"/>
    </w:rPr>
  </w:style>
  <w:style w:type="table" w:styleId="18">
    <w:name w:val="Table Grid"/>
    <w:basedOn w:val="17"/>
    <w:qFormat/>
    <w:uiPriority w:val="59"/>
    <w:pPr>
      <w:widowControl w:val="0"/>
      <w:jc w:val="both"/>
    </w:pPr>
    <w:rPr>
      <w:rFonts w:asciiTheme="minorHAnsi" w:hAnsiTheme="minorHAnsi" w:eastAsiaTheme="minorEastAsia" w:cstheme="minorBidi"/>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3 字符"/>
    <w:basedOn w:val="19"/>
    <w:link w:val="5"/>
    <w:qFormat/>
    <w:uiPriority w:val="0"/>
    <w:rPr>
      <w:rFonts w:ascii="Times New Roman" w:hAnsi="Times New Roman" w:eastAsia="仿宋_GB2312"/>
      <w:b/>
      <w:bCs/>
      <w:kern w:val="2"/>
      <w:sz w:val="32"/>
      <w:szCs w:val="32"/>
    </w:rPr>
  </w:style>
  <w:style w:type="character" w:customStyle="1" w:styleId="21">
    <w:name w:val="标题 字符"/>
    <w:link w:val="16"/>
    <w:uiPriority w:val="10"/>
    <w:rPr>
      <w:rFonts w:ascii="Cambria" w:hAnsi="Cambria"/>
      <w:bCs/>
      <w:kern w:val="2"/>
      <w:sz w:val="18"/>
      <w:szCs w:val="32"/>
    </w:rPr>
  </w:style>
  <w:style w:type="character" w:customStyle="1" w:styleId="22">
    <w:name w:val="正文文本 字符"/>
    <w:basedOn w:val="19"/>
    <w:link w:val="12"/>
    <w:uiPriority w:val="0"/>
    <w:rPr>
      <w:rFonts w:ascii="Times New Roman" w:hAnsi="Times New Roman"/>
      <w:kern w:val="2"/>
      <w:sz w:val="32"/>
    </w:rPr>
  </w:style>
  <w:style w:type="character" w:customStyle="1" w:styleId="23">
    <w:name w:val="标题 1 字符"/>
    <w:basedOn w:val="19"/>
    <w:link w:val="3"/>
    <w:qFormat/>
    <w:uiPriority w:val="0"/>
    <w:rPr>
      <w:rFonts w:asciiTheme="majorHAnsi" w:hAnsiTheme="majorHAnsi" w:eastAsiaTheme="majorEastAsia" w:cstheme="majorBidi"/>
      <w:color w:val="376092" w:themeColor="accent1" w:themeShade="BF"/>
      <w:sz w:val="48"/>
      <w:szCs w:val="48"/>
    </w:rPr>
  </w:style>
  <w:style w:type="character" w:customStyle="1" w:styleId="24">
    <w:name w:val="标题 2 字符"/>
    <w:basedOn w:val="19"/>
    <w:link w:val="4"/>
    <w:semiHidden/>
    <w:uiPriority w:val="9"/>
    <w:rPr>
      <w:rFonts w:asciiTheme="majorHAnsi" w:hAnsiTheme="majorHAnsi" w:eastAsiaTheme="majorEastAsia" w:cstheme="majorBidi"/>
      <w:color w:val="376092" w:themeColor="accent1" w:themeShade="BF"/>
      <w:sz w:val="40"/>
      <w:szCs w:val="40"/>
    </w:rPr>
  </w:style>
  <w:style w:type="character" w:customStyle="1" w:styleId="25">
    <w:name w:val="标题 4 字符"/>
    <w:basedOn w:val="19"/>
    <w:link w:val="2"/>
    <w:semiHidden/>
    <w:uiPriority w:val="9"/>
    <w:rPr>
      <w:rFonts w:asciiTheme="minorHAnsi" w:hAnsiTheme="minorHAnsi" w:eastAsiaTheme="minorEastAsia" w:cstheme="majorBidi"/>
      <w:color w:val="376092" w:themeColor="accent1" w:themeShade="BF"/>
      <w:sz w:val="28"/>
      <w:szCs w:val="28"/>
    </w:rPr>
  </w:style>
  <w:style w:type="character" w:customStyle="1" w:styleId="26">
    <w:name w:val="标题 5 字符"/>
    <w:basedOn w:val="19"/>
    <w:link w:val="6"/>
    <w:semiHidden/>
    <w:qFormat/>
    <w:uiPriority w:val="9"/>
    <w:rPr>
      <w:rFonts w:asciiTheme="minorHAnsi" w:hAnsiTheme="minorHAnsi" w:eastAsiaTheme="minorEastAsia" w:cstheme="majorBidi"/>
      <w:color w:val="376092" w:themeColor="accent1" w:themeShade="BF"/>
      <w:sz w:val="24"/>
      <w:szCs w:val="24"/>
    </w:rPr>
  </w:style>
  <w:style w:type="character" w:customStyle="1" w:styleId="27">
    <w:name w:val="标题 6 字符"/>
    <w:basedOn w:val="19"/>
    <w:link w:val="7"/>
    <w:semiHidden/>
    <w:uiPriority w:val="9"/>
    <w:rPr>
      <w:rFonts w:asciiTheme="minorHAnsi" w:hAnsiTheme="minorHAnsi" w:eastAsiaTheme="minorEastAsia" w:cstheme="majorBidi"/>
      <w:b/>
      <w:bCs/>
      <w:color w:val="376092" w:themeColor="accent1" w:themeShade="BF"/>
      <w:sz w:val="21"/>
      <w:szCs w:val="22"/>
    </w:rPr>
  </w:style>
  <w:style w:type="character" w:customStyle="1" w:styleId="28">
    <w:name w:val="标题 7 字符"/>
    <w:basedOn w:val="19"/>
    <w:link w:val="8"/>
    <w:semiHidden/>
    <w:qFormat/>
    <w:uiPriority w:val="9"/>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9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99"/>
    <w:rPr>
      <w:i/>
      <w:iCs/>
      <w:color w:val="404040" w:themeColor="text1" w:themeTint="BF"/>
      <w:sz w:val="21"/>
      <w:szCs w:val="22"/>
      <w14:textFill>
        <w14:solidFill>
          <w14:schemeClr w14:val="tx1">
            <w14:lumMod w14:val="75000"/>
            <w14:lumOff w14:val="25000"/>
          </w14:schemeClr>
        </w14:solidFill>
      </w14:textFill>
    </w:rPr>
  </w:style>
  <w:style w:type="paragraph" w:styleId="34">
    <w:name w:val="List Paragraph"/>
    <w:basedOn w:val="1"/>
    <w:link w:val="41"/>
    <w:qFormat/>
    <w:uiPriority w:val="34"/>
    <w:pPr>
      <w:ind w:left="720"/>
      <w:contextualSpacing/>
    </w:pPr>
  </w:style>
  <w:style w:type="character" w:customStyle="1" w:styleId="35">
    <w:name w:val="Intense Emphasis"/>
    <w:basedOn w:val="19"/>
    <w:qFormat/>
    <w:uiPriority w:val="21"/>
    <w:rPr>
      <w:i/>
      <w:iCs/>
      <w:color w:val="376092" w:themeColor="accent1" w:themeShade="BF"/>
    </w:rPr>
  </w:style>
  <w:style w:type="paragraph" w:styleId="36">
    <w:name w:val="Intense Quote"/>
    <w:basedOn w:val="1"/>
    <w:next w:val="1"/>
    <w:link w:val="37"/>
    <w:qFormat/>
    <w:uiPriority w:val="99"/>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7">
    <w:name w:val="明显引用 字符"/>
    <w:basedOn w:val="19"/>
    <w:link w:val="36"/>
    <w:qFormat/>
    <w:uiPriority w:val="99"/>
    <w:rPr>
      <w:i/>
      <w:iCs/>
      <w:color w:val="376092" w:themeColor="accent1" w:themeShade="BF"/>
      <w:sz w:val="21"/>
      <w:szCs w:val="22"/>
    </w:rPr>
  </w:style>
  <w:style w:type="character" w:customStyle="1" w:styleId="38">
    <w:name w:val="Intense Reference"/>
    <w:basedOn w:val="19"/>
    <w:qFormat/>
    <w:uiPriority w:val="32"/>
    <w:rPr>
      <w:b/>
      <w:bCs/>
      <w:smallCaps/>
      <w:color w:val="376092"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character" w:customStyle="1" w:styleId="41">
    <w:name w:val="列表段落 字符"/>
    <w:link w:val="34"/>
    <w:qFormat/>
    <w:locked/>
    <w:uiPriority w:val="34"/>
    <w:rPr>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2727</Words>
  <Characters>2767</Characters>
  <Lines>20</Lines>
  <Paragraphs>5</Paragraphs>
  <TotalTime>173</TotalTime>
  <ScaleCrop>false</ScaleCrop>
  <LinksUpToDate>false</LinksUpToDate>
  <CharactersWithSpaces>2834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2026-01-20T07:25:00Z</dcterms:created>
  <dc:creator>万户网络</dc:creator>
  <cp:lastModifiedBy>微信用户</cp:lastModifiedBy>
  <cp:lastPrinted>2026-01-27T07:31:00Z</cp:lastPrinted>
  <dcterms:modified xsi:type="dcterms:W3CDTF">2026-01-28T02:49:49Z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2052-12.1.0.24034</vt:lpwstr>
  </property>
  <property fmtid="{D5CDD505-2E9C-101B-9397-08002B2CF9AE}" pid="4" name="ICV">
    <vt:lpwstr>F39B869BC64845FF88460083A5F21F1C_12</vt:lpwstr>
  </property>
</Properties>
</file>