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3C5A1">
      <w:pPr>
        <w:jc w:val="center"/>
        <w:rPr>
          <w:rFonts w:hint="eastAsia" w:ascii="宋体" w:hAnsi="宋体" w:cs="宋体"/>
          <w:sz w:val="24"/>
        </w:rPr>
      </w:pPr>
      <w:r>
        <w:rPr>
          <w:rFonts w:hint="eastAsia" w:ascii="宋体" w:hAnsi="宋体" w:eastAsia="宋体" w:cs="宋体"/>
          <w:bCs/>
          <w:color w:val="auto"/>
          <w:sz w:val="32"/>
          <w:szCs w:val="32"/>
        </w:rPr>
        <w:t>三级等级保护服务采购项目</w:t>
      </w:r>
      <w:r>
        <w:rPr>
          <w:rFonts w:hint="eastAsia" w:ascii="宋体" w:hAnsi="宋体" w:eastAsia="宋体" w:cs="宋体"/>
          <w:color w:val="auto"/>
          <w:sz w:val="32"/>
          <w:szCs w:val="32"/>
        </w:rPr>
        <w:t>需求</w:t>
      </w:r>
    </w:p>
    <w:p w14:paraId="325F9551">
      <w:pPr>
        <w:ind w:firstLine="480" w:firstLineChars="200"/>
        <w:jc w:val="both"/>
        <w:rPr>
          <w:rFonts w:ascii="宋体" w:hAnsi="宋体" w:cs="宋体"/>
          <w:sz w:val="24"/>
        </w:rPr>
      </w:pPr>
      <w:r>
        <w:rPr>
          <w:rFonts w:hint="eastAsia" w:ascii="宋体" w:hAnsi="宋体" w:cs="宋体"/>
          <w:sz w:val="24"/>
        </w:rPr>
        <w:t>目前云南大学附属医院三级等级保护服务项目主要围绕以下四个方面需求展开：</w:t>
      </w:r>
    </w:p>
    <w:p w14:paraId="49B60284">
      <w:pPr>
        <w:adjustRightInd w:val="0"/>
        <w:snapToGrid w:val="0"/>
        <w:spacing w:line="360" w:lineRule="auto"/>
        <w:ind w:firstLine="482" w:firstLineChars="200"/>
        <w:rPr>
          <w:rFonts w:ascii="宋体" w:hAnsi="宋体" w:cs="宋体"/>
          <w:b/>
          <w:sz w:val="24"/>
        </w:rPr>
      </w:pPr>
      <w:r>
        <w:rPr>
          <w:rFonts w:hint="eastAsia" w:ascii="宋体" w:hAnsi="宋体" w:cs="宋体"/>
          <w:b/>
          <w:sz w:val="24"/>
        </w:rPr>
        <w:t>（一）建设目标</w:t>
      </w:r>
    </w:p>
    <w:p w14:paraId="2612EFEA">
      <w:pPr>
        <w:adjustRightInd w:val="0"/>
        <w:snapToGrid w:val="0"/>
        <w:spacing w:line="360" w:lineRule="auto"/>
        <w:ind w:firstLine="480" w:firstLineChars="200"/>
        <w:rPr>
          <w:rFonts w:ascii="宋体" w:hAnsi="宋体" w:cs="宋体"/>
          <w:sz w:val="24"/>
        </w:rPr>
      </w:pPr>
      <w:r>
        <w:rPr>
          <w:rFonts w:hint="eastAsia" w:ascii="宋体" w:hAnsi="宋体" w:cs="宋体"/>
          <w:sz w:val="24"/>
        </w:rPr>
        <w:t>1、依据国家相关政策要求，互联网医院（含OA办公系统）、体检、HIS（含EMR）、LIS系统、PACS系统五个系统三级等级保护服务总体设计指引以“一个中心、三重防护”为理念，从现有的被动防御的安全体系向事前预防、事中响应、事后审计的动态保障体系转变。从安全技术体系、安全管理体系、安全运营体系三方面来实现信息安全建设。建立安全技术体系和安全管理体系，构建具备相应等级安全保护能力的网络安全综合防御体系，开展组织管理、机制建设、安全规划、通报预警、应急处置、监督检查、技术检测、队伍建设、安全培训和日常运维保障等工作。</w:t>
      </w:r>
    </w:p>
    <w:p w14:paraId="17CD5CEA">
      <w:pPr>
        <w:adjustRightInd w:val="0"/>
        <w:snapToGrid w:val="0"/>
        <w:spacing w:line="360" w:lineRule="auto"/>
        <w:ind w:firstLine="480" w:firstLineChars="200"/>
        <w:rPr>
          <w:rFonts w:ascii="宋体" w:hAnsi="宋体" w:cs="宋体"/>
          <w:sz w:val="24"/>
        </w:rPr>
      </w:pPr>
      <w:r>
        <w:rPr>
          <w:rFonts w:hint="eastAsia" w:ascii="宋体" w:hAnsi="宋体" w:cs="宋体"/>
          <w:sz w:val="24"/>
        </w:rPr>
        <w:t>2、构建完整的互联网医院（含OA办公系统）、体检、HIS（含EMR）、LIS系统、PACS系统三级等级保护服务运行质量洞察运维管理体系方案，掌握IT设施的运行趋势，安全趋势、资源运行态势、业务运行态势、提高IT资源、业务应用、数据存储的安全性；预判业务系统整体健康状况和运行趋势，从而有效保障业务应用的连续运行。</w:t>
      </w:r>
    </w:p>
    <w:p w14:paraId="7542361B">
      <w:pPr>
        <w:adjustRightInd w:val="0"/>
        <w:snapToGrid w:val="0"/>
        <w:spacing w:line="360" w:lineRule="auto"/>
        <w:ind w:firstLine="480" w:firstLineChars="200"/>
        <w:rPr>
          <w:rFonts w:ascii="宋体" w:hAnsi="宋体" w:cs="宋体"/>
          <w:sz w:val="24"/>
        </w:rPr>
      </w:pPr>
      <w:r>
        <w:rPr>
          <w:rFonts w:hint="eastAsia" w:ascii="宋体" w:hAnsi="宋体" w:cs="宋体"/>
          <w:sz w:val="24"/>
        </w:rPr>
        <w:t>3、通信加密与完整性保护</w:t>
      </w:r>
    </w:p>
    <w:p w14:paraId="6E69B6D8">
      <w:pPr>
        <w:adjustRightInd w:val="0"/>
        <w:snapToGrid w:val="0"/>
        <w:spacing w:line="360" w:lineRule="auto"/>
        <w:ind w:firstLine="480" w:firstLineChars="200"/>
        <w:rPr>
          <w:rFonts w:ascii="宋体" w:hAnsi="宋体" w:cs="宋体"/>
          <w:sz w:val="24"/>
        </w:rPr>
      </w:pPr>
      <w:r>
        <w:rPr>
          <w:rFonts w:hint="eastAsia" w:ascii="宋体" w:hAnsi="宋体" w:cs="宋体"/>
          <w:sz w:val="24"/>
        </w:rPr>
        <w:t>IPsec VPN 隧道配置：采用 IKEv2 协议协商密钥，密钥定期自动更换（默认 24 小时），同时启用哈希算法（SHA-256）验证数据完整性，防止数据被篡改；</w:t>
      </w:r>
    </w:p>
    <w:p w14:paraId="2CB4A589">
      <w:pPr>
        <w:adjustRightInd w:val="0"/>
        <w:snapToGrid w:val="0"/>
        <w:spacing w:line="360" w:lineRule="auto"/>
        <w:ind w:firstLine="480" w:firstLineChars="200"/>
        <w:rPr>
          <w:rFonts w:ascii="宋体" w:hAnsi="宋体" w:cs="宋体"/>
          <w:sz w:val="24"/>
        </w:rPr>
      </w:pPr>
      <w:r>
        <w:rPr>
          <w:rFonts w:hint="eastAsia" w:ascii="宋体" w:hAnsi="宋体" w:cs="宋体"/>
          <w:sz w:val="24"/>
        </w:rPr>
        <w:t>敏感业务数据（如数据库同步、文件传输）额外叠加应用层加密，例如数据库同步采用 SSL 加密连接，文件传输使用 SFTP（SSH File Transfer Protocol）替代 FTP，禁用明文传输协议；</w:t>
      </w:r>
    </w:p>
    <w:p w14:paraId="2D8E34D8">
      <w:pPr>
        <w:adjustRightInd w:val="0"/>
        <w:snapToGrid w:val="0"/>
        <w:spacing w:line="360" w:lineRule="auto"/>
        <w:ind w:firstLine="480" w:firstLineChars="200"/>
        <w:rPr>
          <w:rFonts w:ascii="宋体" w:hAnsi="宋体" w:cs="宋体"/>
          <w:sz w:val="24"/>
        </w:rPr>
      </w:pPr>
      <w:r>
        <w:rPr>
          <w:rFonts w:hint="eastAsia" w:ascii="宋体" w:hAnsi="宋体" w:cs="宋体"/>
          <w:sz w:val="24"/>
        </w:rPr>
        <w:t>部署证书认证系统（PKI） ，为 VPN 设备、服务器颁发数字证书，基于证书进行身份认证，杜绝身份伪造攻击。</w:t>
      </w:r>
    </w:p>
    <w:p w14:paraId="775EAF25">
      <w:pPr>
        <w:adjustRightInd w:val="0"/>
        <w:snapToGrid w:val="0"/>
        <w:spacing w:line="360" w:lineRule="auto"/>
        <w:ind w:firstLine="480" w:firstLineChars="200"/>
        <w:rPr>
          <w:rFonts w:ascii="宋体" w:hAnsi="宋体" w:cs="宋体"/>
          <w:sz w:val="24"/>
        </w:rPr>
      </w:pPr>
      <w:r>
        <w:rPr>
          <w:rFonts w:hint="eastAsia" w:ascii="宋体" w:hAnsi="宋体" w:cs="宋体"/>
          <w:sz w:val="24"/>
        </w:rPr>
        <w:t>病毒防护系统，是部署在网络边界（通常是内外网出入口）的硬件 / 软硬一体安全设备，专注于在网关层对网络流量中的病毒、木马、蠕虫、勒索软件等恶意代码进行实时检测、拦截与清除，区别于传统防火墙仅做 IP / 端口的网络层控制，它深入到应用层内容进行扫描，是企业边界防护的核心设备之一。</w:t>
      </w:r>
    </w:p>
    <w:p w14:paraId="67A13105">
      <w:pPr>
        <w:widowControl/>
        <w:spacing w:line="288" w:lineRule="atLeast"/>
        <w:ind w:firstLine="480" w:firstLineChars="200"/>
        <w:jc w:val="left"/>
        <w:rPr>
          <w:rFonts w:ascii="宋体" w:hAnsi="宋体" w:cs="宋体"/>
          <w:sz w:val="24"/>
        </w:rPr>
      </w:pPr>
      <w:r>
        <w:rPr>
          <w:rFonts w:hint="eastAsia" w:ascii="宋体" w:hAnsi="宋体" w:cs="宋体"/>
          <w:sz w:val="24"/>
        </w:rPr>
        <w:t>核心技术原理</w:t>
      </w:r>
    </w:p>
    <w:p w14:paraId="08E5E915">
      <w:pPr>
        <w:widowControl/>
        <w:spacing w:line="288" w:lineRule="atLeast"/>
        <w:ind w:firstLine="480" w:firstLineChars="200"/>
        <w:jc w:val="left"/>
        <w:rPr>
          <w:rFonts w:ascii="宋体" w:hAnsi="宋体" w:cs="宋体"/>
          <w:sz w:val="24"/>
        </w:rPr>
      </w:pPr>
      <w:r>
        <w:rPr>
          <w:rFonts w:hint="eastAsia" w:ascii="宋体" w:hAnsi="宋体" w:cs="宋体"/>
          <w:sz w:val="24"/>
        </w:rPr>
        <w:t>特征码匹配：基于海量病毒特征库，快速识别已知恶意文件；需持续更新特征库应对新样本。</w:t>
      </w:r>
    </w:p>
    <w:p w14:paraId="79A2AF61">
      <w:pPr>
        <w:widowControl/>
        <w:spacing w:line="288" w:lineRule="atLeast"/>
        <w:ind w:firstLine="480" w:firstLineChars="200"/>
        <w:jc w:val="left"/>
        <w:rPr>
          <w:rFonts w:ascii="宋体" w:hAnsi="宋体" w:cs="宋体"/>
          <w:sz w:val="24"/>
        </w:rPr>
      </w:pPr>
      <w:r>
        <w:rPr>
          <w:rFonts w:hint="eastAsia" w:ascii="宋体" w:hAnsi="宋体" w:cs="宋体"/>
          <w:sz w:val="24"/>
        </w:rPr>
        <w:t>启发式分析：通过代码行为、结构特征判断可疑文件，可检测部分未知威胁。</w:t>
      </w:r>
    </w:p>
    <w:p w14:paraId="76042A37">
      <w:pPr>
        <w:widowControl/>
        <w:spacing w:line="288" w:lineRule="atLeast"/>
        <w:ind w:firstLine="480" w:firstLineChars="200"/>
        <w:jc w:val="left"/>
        <w:rPr>
          <w:rFonts w:ascii="宋体" w:hAnsi="宋体" w:cs="宋体"/>
          <w:sz w:val="24"/>
        </w:rPr>
      </w:pPr>
      <w:r>
        <w:rPr>
          <w:rFonts w:hint="eastAsia" w:ascii="宋体" w:hAnsi="宋体" w:cs="宋体"/>
          <w:sz w:val="24"/>
        </w:rPr>
        <w:t>沙箱（Sandbox）分析：在隔离环境中运行可疑文件，监控其行为（如修改系统、外联远控），精准识别零日漏洞与高级恶意软件。</w:t>
      </w:r>
    </w:p>
    <w:p w14:paraId="0D5B0689">
      <w:pPr>
        <w:widowControl/>
        <w:spacing w:line="288" w:lineRule="atLeast"/>
        <w:ind w:firstLine="480" w:firstLineChars="200"/>
        <w:jc w:val="left"/>
        <w:rPr>
          <w:rFonts w:ascii="宋体" w:hAnsi="宋体" w:cs="宋体"/>
          <w:sz w:val="24"/>
        </w:rPr>
      </w:pPr>
      <w:r>
        <w:rPr>
          <w:rFonts w:hint="eastAsia" w:ascii="宋体" w:hAnsi="宋体" w:cs="宋体"/>
          <w:sz w:val="24"/>
        </w:rPr>
        <w:t>深度包检测（DPI）：解析 HTTP、FTP、SMTP/POP3、IMAP 等协议流量，提取文件载荷进行扫描，支持多层压缩包、加壳文件的检测。</w:t>
      </w:r>
    </w:p>
    <w:p w14:paraId="104AF71F">
      <w:pPr>
        <w:adjustRightInd w:val="0"/>
        <w:snapToGrid w:val="0"/>
        <w:spacing w:line="360" w:lineRule="auto"/>
        <w:ind w:firstLine="480" w:firstLineChars="200"/>
        <w:rPr>
          <w:rFonts w:ascii="宋体" w:hAnsi="宋体" w:cs="宋体"/>
          <w:sz w:val="24"/>
        </w:rPr>
      </w:pPr>
      <w:r>
        <w:rPr>
          <w:rFonts w:hint="eastAsia" w:ascii="宋体" w:hAnsi="宋体" w:cs="宋体"/>
          <w:sz w:val="24"/>
        </w:rPr>
        <w:t>4、负载均衡是一种将网络流量或应用请求均匀分配到多个后端服务器的技术，用于提高系统可用性、稳定性和处理能力。</w:t>
      </w:r>
    </w:p>
    <w:p w14:paraId="6713EEBE">
      <w:pPr>
        <w:adjustRightInd w:val="0"/>
        <w:snapToGrid w:val="0"/>
        <w:spacing w:line="360" w:lineRule="auto"/>
        <w:ind w:firstLine="480" w:firstLineChars="200"/>
        <w:rPr>
          <w:rFonts w:ascii="宋体" w:hAnsi="宋体" w:cs="宋体"/>
          <w:sz w:val="24"/>
        </w:rPr>
      </w:pPr>
      <w:r>
        <w:rPr>
          <w:rFonts w:hint="eastAsia" w:ascii="宋体" w:hAnsi="宋体" w:cs="宋体"/>
          <w:sz w:val="24"/>
        </w:rPr>
        <w:t>流量分发将客户端请求按策略分配到不同服务器，避免单点过载。</w:t>
      </w:r>
    </w:p>
    <w:p w14:paraId="4F9C9E6C">
      <w:pPr>
        <w:adjustRightInd w:val="0"/>
        <w:snapToGrid w:val="0"/>
        <w:spacing w:line="360" w:lineRule="auto"/>
        <w:ind w:firstLine="480" w:firstLineChars="200"/>
        <w:rPr>
          <w:rFonts w:ascii="宋体" w:hAnsi="宋体" w:cs="宋体"/>
          <w:sz w:val="24"/>
        </w:rPr>
      </w:pPr>
      <w:r>
        <w:rPr>
          <w:rFonts w:hint="eastAsia" w:ascii="宋体" w:hAnsi="宋体" w:cs="宋体"/>
          <w:sz w:val="24"/>
        </w:rPr>
        <w:t>提高系统可用性自动检测后端服务器状态，故障时自动切换，实现高可用。</w:t>
      </w:r>
    </w:p>
    <w:p w14:paraId="6EE4A36E">
      <w:pPr>
        <w:adjustRightInd w:val="0"/>
        <w:snapToGrid w:val="0"/>
        <w:spacing w:line="360" w:lineRule="auto"/>
        <w:ind w:firstLine="480" w:firstLineChars="200"/>
        <w:rPr>
          <w:rFonts w:ascii="宋体" w:hAnsi="宋体" w:cs="宋体"/>
          <w:sz w:val="24"/>
        </w:rPr>
      </w:pPr>
      <w:r>
        <w:rPr>
          <w:rFonts w:hint="eastAsia" w:ascii="宋体" w:hAnsi="宋体" w:cs="宋体"/>
          <w:sz w:val="24"/>
        </w:rPr>
        <w:t>提升性能通过分担压力，提高整体响应速度和并发处理能力。</w:t>
      </w:r>
    </w:p>
    <w:p w14:paraId="4FEBE39F">
      <w:pPr>
        <w:adjustRightInd w:val="0"/>
        <w:snapToGrid w:val="0"/>
        <w:spacing w:line="360" w:lineRule="auto"/>
        <w:ind w:firstLine="480" w:firstLineChars="200"/>
        <w:rPr>
          <w:rFonts w:ascii="宋体" w:hAnsi="宋体" w:cs="宋体"/>
          <w:sz w:val="24"/>
        </w:rPr>
      </w:pPr>
      <w:r>
        <w:rPr>
          <w:rFonts w:hint="eastAsia" w:ascii="宋体" w:hAnsi="宋体" w:cs="宋体"/>
          <w:sz w:val="24"/>
        </w:rPr>
        <w:t>会话保持（粘性会话）让同一用户的请求始终落到同一台服务器，保证会话一致性。</w:t>
      </w:r>
    </w:p>
    <w:p w14:paraId="1B0708BA">
      <w:pPr>
        <w:adjustRightInd w:val="0"/>
        <w:snapToGrid w:val="0"/>
        <w:spacing w:line="360" w:lineRule="auto"/>
        <w:ind w:firstLine="480" w:firstLineChars="200"/>
        <w:rPr>
          <w:rFonts w:ascii="宋体" w:hAnsi="宋体" w:cs="宋体"/>
          <w:sz w:val="24"/>
        </w:rPr>
      </w:pPr>
      <w:r>
        <w:rPr>
          <w:rFonts w:hint="eastAsia" w:ascii="宋体" w:hAnsi="宋体" w:cs="宋体"/>
          <w:sz w:val="24"/>
        </w:rPr>
        <w:t>SSL 卸载由负载均衡器处理 HTTPS 加密解密，减轻后端服务器负担。</w:t>
      </w:r>
    </w:p>
    <w:p w14:paraId="137C3E12">
      <w:pPr>
        <w:adjustRightInd w:val="0"/>
        <w:snapToGrid w:val="0"/>
        <w:spacing w:line="360" w:lineRule="auto"/>
        <w:ind w:firstLine="480" w:firstLineChars="200"/>
        <w:rPr>
          <w:rFonts w:ascii="宋体" w:hAnsi="宋体" w:cs="宋体"/>
          <w:sz w:val="24"/>
        </w:rPr>
      </w:pPr>
      <w:r>
        <w:rPr>
          <w:rFonts w:hint="eastAsia" w:ascii="宋体" w:hAnsi="宋体" w:cs="宋体"/>
          <w:sz w:val="24"/>
        </w:rPr>
        <w:t>健康检查定期检测后端服务状态，自动剔除异常节点。</w:t>
      </w:r>
    </w:p>
    <w:p w14:paraId="05FAD065">
      <w:pPr>
        <w:adjustRightInd w:val="0"/>
        <w:snapToGrid w:val="0"/>
        <w:spacing w:line="360" w:lineRule="auto"/>
        <w:ind w:firstLine="480" w:firstLineChars="200"/>
        <w:rPr>
          <w:rFonts w:ascii="宋体" w:hAnsi="宋体" w:cs="宋体"/>
          <w:sz w:val="24"/>
        </w:rPr>
      </w:pPr>
      <w:r>
        <w:rPr>
          <w:rFonts w:hint="eastAsia" w:ascii="宋体" w:hAnsi="宋体" w:cs="宋体"/>
          <w:sz w:val="24"/>
        </w:rPr>
        <w:t>内容缓存缓存静态资源，减少后端服务器请求量。</w:t>
      </w:r>
    </w:p>
    <w:p w14:paraId="4240ECB1">
      <w:pPr>
        <w:adjustRightInd w:val="0"/>
        <w:snapToGrid w:val="0"/>
        <w:spacing w:line="360" w:lineRule="auto"/>
        <w:ind w:firstLine="480" w:firstLineChars="200"/>
        <w:rPr>
          <w:rFonts w:ascii="宋体" w:hAnsi="宋体" w:cs="宋体"/>
          <w:sz w:val="24"/>
        </w:rPr>
      </w:pPr>
      <w:r>
        <w:rPr>
          <w:rFonts w:hint="eastAsia" w:ascii="宋体" w:hAnsi="宋体" w:cs="宋体"/>
          <w:sz w:val="24"/>
        </w:rPr>
        <w:t>安全防护部分负载均衡器具备 WAF、DDoS 防护等功能。</w:t>
      </w:r>
    </w:p>
    <w:p w14:paraId="7D2600A1">
      <w:pPr>
        <w:adjustRightInd w:val="0"/>
        <w:snapToGrid w:val="0"/>
        <w:spacing w:line="360" w:lineRule="auto"/>
        <w:ind w:firstLine="480" w:firstLineChars="200"/>
        <w:rPr>
          <w:rFonts w:ascii="宋体" w:hAnsi="宋体" w:cs="宋体"/>
          <w:sz w:val="24"/>
        </w:rPr>
      </w:pPr>
      <w:r>
        <w:rPr>
          <w:rFonts w:hint="eastAsia" w:ascii="宋体" w:hAnsi="宋体" w:cs="宋体"/>
          <w:sz w:val="24"/>
        </w:rPr>
        <w:t>5、WAF应用防护</w:t>
      </w:r>
    </w:p>
    <w:p w14:paraId="44B49497">
      <w:pPr>
        <w:adjustRightInd w:val="0"/>
        <w:snapToGrid w:val="0"/>
        <w:spacing w:line="360" w:lineRule="auto"/>
        <w:ind w:firstLine="480" w:firstLineChars="200"/>
        <w:rPr>
          <w:rFonts w:ascii="宋体" w:hAnsi="宋体" w:cs="宋体"/>
          <w:sz w:val="24"/>
        </w:rPr>
      </w:pPr>
      <w:r>
        <w:rPr>
          <w:rFonts w:hint="eastAsia" w:ascii="宋体" w:hAnsi="宋体" w:cs="宋体"/>
          <w:sz w:val="24"/>
        </w:rPr>
        <w:t>SQL 注入防护识别并阻断 SQL 注入攻击，防止攻击者通过恶意参数获取数据库内容。XSS 跨站脚本防护过滤包含恶意脚本的请求，避免用户浏览器被劫持或页面被篡改。文件上传攻击防护检查上传文件类型、内容和恶意脚本，防止上传木马或恶意文件。WebShell 防护识别常见 WebShell 特征，阻止攻击者通过后门控制服务器。CC 攻击防护对异常高频访问进行识别和限流，保护网站不被恶意请求拖垮。爬虫与恶意机器人防护识别并拦截异常爬虫、扫描器和自动化攻击工具。敏感信息泄露防护防止服务器返回敏感信息（如错误堆栈、数据库信息）。API 防护对 REST API、JSON 接口进行校验，防止参数篡改和越权访问。基于规则的检测（特征识别）利用攻击特征库识别常见攻击模式，如 SQLi、XSS、命令执行等。行为分析通过分析访问频率、请求模式、会话行为等，识别异常访问。机器学习检测（高级 WAF）自动学习正常访问模式，对偏离基线的请求进行拦截。</w:t>
      </w:r>
    </w:p>
    <w:p w14:paraId="277BA6C6">
      <w:pPr>
        <w:adjustRightInd w:val="0"/>
        <w:snapToGrid w:val="0"/>
        <w:spacing w:line="360" w:lineRule="auto"/>
        <w:rPr>
          <w:rFonts w:ascii="宋体" w:hAnsi="宋体" w:cs="宋体"/>
          <w:sz w:val="24"/>
        </w:rPr>
      </w:pPr>
      <w:r>
        <w:rPr>
          <w:rFonts w:hint="eastAsia" w:ascii="宋体" w:hAnsi="宋体" w:cs="宋体"/>
          <w:sz w:val="24"/>
        </w:rPr>
        <w:t>深度包检测（DPI）解析 HTTP/HTTPS 流量，对请求头、请求体、参数、Cookie 等进行检查。主动防御对恶意请求进行阻断、重定向、验证码挑战或返回自定义页面。</w:t>
      </w:r>
    </w:p>
    <w:p w14:paraId="3571ED36">
      <w:pPr>
        <w:rPr>
          <w:rFonts w:ascii="宋体" w:hAnsi="宋体" w:cs="宋体"/>
          <w:kern w:val="0"/>
        </w:rPr>
      </w:pPr>
      <w:r>
        <w:rPr>
          <w:rFonts w:hint="eastAsia"/>
        </w:rPr>
        <w:t>漏洞扫描系统</w:t>
      </w:r>
    </w:p>
    <w:p w14:paraId="568676B3">
      <w:pPr>
        <w:widowControl/>
        <w:spacing w:line="360" w:lineRule="atLeast"/>
        <w:jc w:val="left"/>
        <w:rPr>
          <w:rFonts w:ascii="宋体" w:hAnsi="宋体" w:cs="宋体"/>
          <w:kern w:val="0"/>
          <w:sz w:val="24"/>
        </w:rPr>
      </w:pPr>
      <w:r>
        <w:rPr>
          <w:rFonts w:hint="eastAsia" w:ascii="宋体" w:hAnsi="宋体" w:cs="宋体"/>
          <w:kern w:val="0"/>
          <w:sz w:val="24"/>
        </w:rPr>
        <w:t>核心作用：自动发现资产、识别安全漏洞、输出整改报告，是等保、护网、企业安全运营的标配工具。</w:t>
      </w:r>
    </w:p>
    <w:p w14:paraId="09FE01AE">
      <w:pPr>
        <w:widowControl/>
        <w:spacing w:line="360" w:lineRule="atLeast"/>
        <w:rPr>
          <w:rFonts w:ascii="宋体" w:hAnsi="宋体" w:cs="宋体"/>
          <w:kern w:val="0"/>
          <w:sz w:val="24"/>
        </w:rPr>
      </w:pPr>
      <w:r>
        <w:rPr>
          <w:rFonts w:hint="eastAsia" w:ascii="宋体" w:hAnsi="宋体" w:cs="宋体"/>
          <w:kern w:val="0"/>
          <w:sz w:val="24"/>
        </w:rPr>
        <w:t>·  资产发现：自动扫描网段，梳理 IP、端口、服务、域名</w:t>
      </w:r>
    </w:p>
    <w:p w14:paraId="622C3558">
      <w:pPr>
        <w:widowControl/>
        <w:spacing w:line="360" w:lineRule="atLeast"/>
        <w:rPr>
          <w:rFonts w:ascii="宋体" w:hAnsi="宋体" w:cs="宋体"/>
          <w:kern w:val="0"/>
          <w:sz w:val="24"/>
        </w:rPr>
      </w:pPr>
      <w:r>
        <w:rPr>
          <w:rFonts w:ascii="宋体" w:hAnsi="宋体" w:cs="宋体"/>
          <w:kern w:val="0"/>
          <w:sz w:val="24"/>
        </w:rPr>
        <w:t>·</w:t>
      </w:r>
      <w:r>
        <w:rPr>
          <w:rFonts w:hint="eastAsia" w:ascii="宋体" w:hAnsi="宋体" w:cs="宋体"/>
          <w:kern w:val="0"/>
          <w:sz w:val="24"/>
        </w:rPr>
        <w:t xml:space="preserve">  漏洞检测：基于 POC/EXP、特征库、行为检测</w:t>
      </w:r>
    </w:p>
    <w:p w14:paraId="24315FB7">
      <w:pPr>
        <w:widowControl/>
        <w:spacing w:line="360" w:lineRule="atLeast"/>
        <w:rPr>
          <w:rFonts w:ascii="宋体" w:hAnsi="宋体" w:cs="宋体"/>
          <w:kern w:val="0"/>
          <w:sz w:val="24"/>
        </w:rPr>
      </w:pPr>
      <w:r>
        <w:rPr>
          <w:rFonts w:ascii="宋体" w:hAnsi="宋体" w:cs="宋体"/>
          <w:kern w:val="0"/>
          <w:sz w:val="24"/>
        </w:rPr>
        <w:t>·</w:t>
      </w:r>
      <w:r>
        <w:rPr>
          <w:rFonts w:hint="eastAsia" w:ascii="宋体" w:hAnsi="宋体" w:cs="宋体"/>
          <w:kern w:val="0"/>
          <w:sz w:val="24"/>
        </w:rPr>
        <w:t xml:space="preserve">  弱口令扫描：SSH、RDP、FTP、数据库、后台管理账号</w:t>
      </w:r>
    </w:p>
    <w:p w14:paraId="53A29895">
      <w:pPr>
        <w:widowControl/>
        <w:spacing w:line="360" w:lineRule="atLeast"/>
        <w:rPr>
          <w:rFonts w:ascii="宋体" w:hAnsi="宋体" w:cs="宋体"/>
          <w:kern w:val="0"/>
          <w:sz w:val="24"/>
        </w:rPr>
      </w:pPr>
      <w:r>
        <w:rPr>
          <w:rFonts w:ascii="宋体" w:hAnsi="宋体" w:cs="宋体"/>
          <w:kern w:val="0"/>
          <w:sz w:val="24"/>
        </w:rPr>
        <w:t>·</w:t>
      </w:r>
      <w:r>
        <w:rPr>
          <w:rFonts w:hint="eastAsia" w:ascii="宋体" w:hAnsi="宋体" w:cs="宋体"/>
          <w:kern w:val="0"/>
          <w:sz w:val="24"/>
        </w:rPr>
        <w:t xml:space="preserve">  风险分级：高危 / 中危 / 低危 / 信息，按优先级修复</w:t>
      </w:r>
    </w:p>
    <w:p w14:paraId="672C81FA">
      <w:pPr>
        <w:widowControl/>
        <w:spacing w:line="360" w:lineRule="atLeast"/>
        <w:rPr>
          <w:rFonts w:ascii="宋体" w:hAnsi="宋体" w:cs="宋体"/>
          <w:kern w:val="0"/>
          <w:sz w:val="24"/>
        </w:rPr>
      </w:pPr>
      <w:r>
        <w:rPr>
          <w:rFonts w:ascii="宋体" w:hAnsi="宋体" w:cs="宋体"/>
          <w:kern w:val="0"/>
          <w:sz w:val="24"/>
        </w:rPr>
        <w:t>·</w:t>
      </w:r>
      <w:r>
        <w:rPr>
          <w:rFonts w:hint="eastAsia" w:ascii="宋体" w:hAnsi="宋体" w:cs="宋体"/>
          <w:kern w:val="0"/>
          <w:sz w:val="24"/>
        </w:rPr>
        <w:t xml:space="preserve">  报表输出：等保合规报告、整改清单、趋势统计</w:t>
      </w:r>
    </w:p>
    <w:p w14:paraId="0B77BA1F">
      <w:pPr>
        <w:widowControl/>
        <w:spacing w:line="360" w:lineRule="atLeast"/>
        <w:rPr>
          <w:rFonts w:ascii="宋体" w:hAnsi="宋体" w:cs="宋体"/>
          <w:kern w:val="0"/>
          <w:sz w:val="24"/>
        </w:rPr>
      </w:pPr>
      <w:r>
        <w:rPr>
          <w:rFonts w:ascii="宋体" w:hAnsi="宋体" w:cs="宋体"/>
          <w:kern w:val="0"/>
          <w:sz w:val="24"/>
        </w:rPr>
        <w:t>·</w:t>
      </w:r>
      <w:r>
        <w:rPr>
          <w:rFonts w:hint="eastAsia" w:ascii="宋体" w:hAnsi="宋体" w:cs="宋体"/>
          <w:kern w:val="0"/>
          <w:sz w:val="24"/>
        </w:rPr>
        <w:t xml:space="preserve">  任务管理：定时扫描、增量扫描、分组扫描、告警</w:t>
      </w:r>
    </w:p>
    <w:p w14:paraId="44DC3671">
      <w:pPr>
        <w:adjustRightInd w:val="0"/>
        <w:snapToGrid w:val="0"/>
        <w:spacing w:line="360" w:lineRule="auto"/>
        <w:rPr>
          <w:rFonts w:ascii="宋体" w:hAnsi="宋体" w:cs="宋体"/>
          <w:sz w:val="24"/>
        </w:rPr>
      </w:pPr>
    </w:p>
    <w:p w14:paraId="3E1B56BB">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6、按事件、巡检结果、月度等不同颗粒度进行多维度潜在安全性威胁的的分析，并提出相应的有效对策和改进方案。风险分析的工作不仅仅是提出补救措施，还需要定义潜在风险的预防措施。</w:t>
      </w:r>
    </w:p>
    <w:p w14:paraId="7F94DAA7">
      <w:pPr>
        <w:adjustRightInd w:val="0"/>
        <w:snapToGrid w:val="0"/>
        <w:spacing w:line="360" w:lineRule="auto"/>
        <w:ind w:firstLine="482" w:firstLineChars="200"/>
        <w:rPr>
          <w:rFonts w:ascii="宋体" w:hAnsi="宋体" w:cs="宋体"/>
          <w:b/>
          <w:sz w:val="24"/>
        </w:rPr>
      </w:pPr>
    </w:p>
    <w:p w14:paraId="24FBEC5A">
      <w:pPr>
        <w:adjustRightInd w:val="0"/>
        <w:snapToGrid w:val="0"/>
        <w:spacing w:line="360" w:lineRule="auto"/>
        <w:ind w:firstLine="482" w:firstLineChars="200"/>
        <w:rPr>
          <w:rFonts w:ascii="宋体" w:hAnsi="宋体" w:cs="宋体"/>
          <w:b/>
          <w:sz w:val="24"/>
        </w:rPr>
      </w:pPr>
      <w:r>
        <w:rPr>
          <w:rFonts w:hint="eastAsia" w:ascii="宋体" w:hAnsi="宋体" w:cs="宋体"/>
          <w:b/>
          <w:sz w:val="24"/>
        </w:rPr>
        <w:t>（二）服务内容</w:t>
      </w:r>
    </w:p>
    <w:tbl>
      <w:tblPr>
        <w:tblStyle w:val="1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35"/>
        <w:gridCol w:w="1111"/>
        <w:gridCol w:w="5762"/>
        <w:gridCol w:w="788"/>
      </w:tblGrid>
      <w:tr w14:paraId="41ED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tblHeader/>
          <w:jc w:val="center"/>
        </w:trPr>
        <w:tc>
          <w:tcPr>
            <w:tcW w:w="635" w:type="dxa"/>
            <w:shd w:val="clear" w:color="auto" w:fill="FFFFFF"/>
            <w:vAlign w:val="center"/>
          </w:tcPr>
          <w:p w14:paraId="30893F8A">
            <w:pPr>
              <w:adjustRightInd w:val="0"/>
              <w:snapToGrid w:val="0"/>
              <w:jc w:val="center"/>
              <w:rPr>
                <w:rFonts w:ascii="宋体" w:hAnsi="宋体" w:cs="宋体"/>
                <w:b/>
                <w:sz w:val="24"/>
              </w:rPr>
            </w:pPr>
            <w:r>
              <w:rPr>
                <w:rFonts w:hint="eastAsia" w:ascii="宋体" w:hAnsi="宋体" w:cs="宋体"/>
                <w:b/>
                <w:sz w:val="24"/>
              </w:rPr>
              <w:t>序号</w:t>
            </w:r>
          </w:p>
        </w:tc>
        <w:tc>
          <w:tcPr>
            <w:tcW w:w="1111" w:type="dxa"/>
            <w:shd w:val="clear" w:color="auto" w:fill="FFFFFF"/>
            <w:vAlign w:val="center"/>
          </w:tcPr>
          <w:p w14:paraId="3091E100">
            <w:pPr>
              <w:adjustRightInd w:val="0"/>
              <w:snapToGrid w:val="0"/>
              <w:jc w:val="center"/>
              <w:rPr>
                <w:rFonts w:ascii="宋体" w:hAnsi="宋体" w:cs="宋体"/>
                <w:b/>
                <w:sz w:val="24"/>
              </w:rPr>
            </w:pPr>
            <w:r>
              <w:rPr>
                <w:rFonts w:hint="eastAsia" w:ascii="宋体" w:hAnsi="宋体" w:cs="宋体"/>
                <w:b/>
                <w:sz w:val="24"/>
              </w:rPr>
              <w:t>服务项目</w:t>
            </w:r>
          </w:p>
        </w:tc>
        <w:tc>
          <w:tcPr>
            <w:tcW w:w="5762" w:type="dxa"/>
            <w:shd w:val="clear" w:color="auto" w:fill="FFFFFF"/>
            <w:vAlign w:val="center"/>
          </w:tcPr>
          <w:p w14:paraId="436A49B7">
            <w:pPr>
              <w:adjustRightInd w:val="0"/>
              <w:snapToGrid w:val="0"/>
              <w:jc w:val="center"/>
              <w:rPr>
                <w:rFonts w:ascii="宋体" w:hAnsi="宋体" w:cs="宋体"/>
                <w:b/>
                <w:sz w:val="24"/>
              </w:rPr>
            </w:pPr>
            <w:r>
              <w:rPr>
                <w:rFonts w:hint="eastAsia" w:ascii="宋体" w:hAnsi="宋体" w:cs="宋体"/>
                <w:b/>
                <w:sz w:val="24"/>
              </w:rPr>
              <w:t>服务要求</w:t>
            </w:r>
          </w:p>
        </w:tc>
        <w:tc>
          <w:tcPr>
            <w:tcW w:w="788" w:type="dxa"/>
            <w:shd w:val="clear" w:color="auto" w:fill="FFFFFF"/>
          </w:tcPr>
          <w:p w14:paraId="2838859E">
            <w:pPr>
              <w:adjustRightInd w:val="0"/>
              <w:snapToGrid w:val="0"/>
              <w:jc w:val="center"/>
              <w:rPr>
                <w:rFonts w:ascii="宋体" w:hAnsi="宋体" w:cs="宋体"/>
                <w:b/>
                <w:sz w:val="24"/>
              </w:rPr>
            </w:pPr>
            <w:r>
              <w:rPr>
                <w:rFonts w:hint="eastAsia" w:ascii="宋体" w:hAnsi="宋体" w:cs="宋体"/>
                <w:b/>
                <w:sz w:val="24"/>
              </w:rPr>
              <w:t>数</w:t>
            </w:r>
          </w:p>
          <w:p w14:paraId="006B4F46">
            <w:pPr>
              <w:adjustRightInd w:val="0"/>
              <w:snapToGrid w:val="0"/>
              <w:jc w:val="center"/>
              <w:rPr>
                <w:rFonts w:ascii="宋体" w:hAnsi="宋体" w:cs="宋体"/>
                <w:b/>
                <w:sz w:val="24"/>
              </w:rPr>
            </w:pPr>
            <w:r>
              <w:rPr>
                <w:rFonts w:hint="eastAsia" w:ascii="宋体" w:hAnsi="宋体" w:cs="宋体"/>
                <w:b/>
                <w:sz w:val="24"/>
              </w:rPr>
              <w:t>量</w:t>
            </w:r>
          </w:p>
        </w:tc>
      </w:tr>
      <w:tr w14:paraId="52AC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1E5E9F37">
            <w:pPr>
              <w:adjustRightInd w:val="0"/>
              <w:snapToGrid w:val="0"/>
              <w:jc w:val="center"/>
              <w:rPr>
                <w:rFonts w:ascii="宋体" w:hAnsi="宋体" w:cs="宋体"/>
                <w:sz w:val="24"/>
              </w:rPr>
            </w:pPr>
            <w:r>
              <w:rPr>
                <w:rFonts w:hint="eastAsia" w:ascii="宋体" w:hAnsi="宋体" w:cs="宋体"/>
                <w:sz w:val="24"/>
              </w:rPr>
              <w:t>1</w:t>
            </w:r>
          </w:p>
        </w:tc>
        <w:tc>
          <w:tcPr>
            <w:tcW w:w="1111" w:type="dxa"/>
            <w:shd w:val="clear" w:color="auto" w:fill="FFFFFF"/>
            <w:vAlign w:val="center"/>
          </w:tcPr>
          <w:p w14:paraId="3F031DE2">
            <w:pPr>
              <w:adjustRightInd w:val="0"/>
              <w:snapToGrid w:val="0"/>
              <w:jc w:val="center"/>
              <w:rPr>
                <w:rFonts w:ascii="宋体" w:hAnsi="宋体" w:cs="宋体"/>
                <w:sz w:val="24"/>
              </w:rPr>
            </w:pPr>
            <w:r>
              <w:rPr>
                <w:rFonts w:hint="eastAsia" w:ascii="宋体" w:hAnsi="宋体" w:cs="宋体"/>
                <w:sz w:val="24"/>
              </w:rPr>
              <w:t>安全策略梳理优化服务</w:t>
            </w:r>
          </w:p>
        </w:tc>
        <w:tc>
          <w:tcPr>
            <w:tcW w:w="5762" w:type="dxa"/>
            <w:shd w:val="clear" w:color="auto" w:fill="FFFFFF"/>
            <w:vAlign w:val="center"/>
          </w:tcPr>
          <w:p w14:paraId="3CB326AF">
            <w:pPr>
              <w:adjustRightInd w:val="0"/>
              <w:snapToGrid w:val="0"/>
              <w:jc w:val="left"/>
              <w:rPr>
                <w:rFonts w:ascii="宋体" w:hAnsi="宋体" w:cs="宋体"/>
                <w:sz w:val="24"/>
              </w:rPr>
            </w:pPr>
            <w:r>
              <w:rPr>
                <w:rFonts w:hint="eastAsia" w:ascii="宋体" w:hAnsi="宋体" w:cs="宋体"/>
                <w:sz w:val="24"/>
              </w:rPr>
              <w:t>定期梳理针对安全和网络服务，优化安全服务策略，及时调整发生变更或废止的信息资产安全策略，建立策略池和配置档案，提高安全运维质量和水平。</w:t>
            </w:r>
          </w:p>
          <w:p w14:paraId="7F74393D">
            <w:pPr>
              <w:adjustRightInd w:val="0"/>
              <w:snapToGrid w:val="0"/>
              <w:jc w:val="left"/>
              <w:rPr>
                <w:rFonts w:ascii="宋体" w:hAnsi="宋体" w:cs="宋体"/>
                <w:sz w:val="24"/>
              </w:rPr>
            </w:pPr>
            <w:r>
              <w:rPr>
                <w:rFonts w:hint="eastAsia" w:ascii="宋体" w:hAnsi="宋体" w:cs="宋体"/>
                <w:sz w:val="24"/>
              </w:rPr>
              <w:t>定期对安全策略进行梳理，并根据医院业务需求和管理要求，进行安全策略优化。</w:t>
            </w:r>
          </w:p>
          <w:p w14:paraId="77CD7C31">
            <w:pPr>
              <w:adjustRightInd w:val="0"/>
              <w:snapToGrid w:val="0"/>
              <w:jc w:val="left"/>
              <w:rPr>
                <w:rFonts w:ascii="宋体" w:hAnsi="宋体" w:cs="宋体"/>
                <w:sz w:val="24"/>
              </w:rPr>
            </w:pPr>
            <w:r>
              <w:rPr>
                <w:rFonts w:hint="eastAsia" w:ascii="宋体" w:hAnsi="宋体" w:cs="宋体"/>
                <w:sz w:val="24"/>
              </w:rPr>
              <w:t>交付成果：《策略优化报告》</w:t>
            </w:r>
          </w:p>
        </w:tc>
        <w:tc>
          <w:tcPr>
            <w:tcW w:w="788" w:type="dxa"/>
            <w:shd w:val="clear" w:color="auto" w:fill="FFFFFF"/>
          </w:tcPr>
          <w:p w14:paraId="1FE5BB2A">
            <w:pPr>
              <w:adjustRightInd w:val="0"/>
              <w:snapToGrid w:val="0"/>
              <w:jc w:val="left"/>
              <w:rPr>
                <w:rFonts w:ascii="宋体" w:hAnsi="宋体" w:cs="宋体"/>
                <w:sz w:val="24"/>
              </w:rPr>
            </w:pPr>
          </w:p>
          <w:p w14:paraId="503C9076">
            <w:pPr>
              <w:adjustRightInd w:val="0"/>
              <w:snapToGrid w:val="0"/>
              <w:jc w:val="left"/>
              <w:rPr>
                <w:rFonts w:ascii="宋体" w:hAnsi="宋体" w:cs="宋体"/>
                <w:sz w:val="24"/>
              </w:rPr>
            </w:pPr>
          </w:p>
          <w:p w14:paraId="6E57F90D">
            <w:pPr>
              <w:adjustRightInd w:val="0"/>
              <w:snapToGrid w:val="0"/>
              <w:jc w:val="left"/>
              <w:rPr>
                <w:rFonts w:ascii="宋体" w:hAnsi="宋体" w:cs="宋体"/>
                <w:sz w:val="24"/>
              </w:rPr>
            </w:pPr>
            <w:r>
              <w:rPr>
                <w:rFonts w:hint="eastAsia" w:ascii="宋体" w:hAnsi="宋体" w:cs="宋体"/>
                <w:sz w:val="24"/>
              </w:rPr>
              <w:t>1项</w:t>
            </w:r>
          </w:p>
        </w:tc>
      </w:tr>
      <w:tr w14:paraId="40BB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34BFD312">
            <w:pPr>
              <w:adjustRightInd w:val="0"/>
              <w:snapToGrid w:val="0"/>
              <w:jc w:val="center"/>
              <w:rPr>
                <w:rFonts w:ascii="宋体" w:hAnsi="宋体" w:cs="宋体"/>
                <w:sz w:val="24"/>
              </w:rPr>
            </w:pPr>
            <w:r>
              <w:rPr>
                <w:rFonts w:hint="eastAsia" w:ascii="宋体" w:hAnsi="宋体" w:cs="宋体"/>
                <w:sz w:val="24"/>
              </w:rPr>
              <w:t>2</w:t>
            </w:r>
          </w:p>
        </w:tc>
        <w:tc>
          <w:tcPr>
            <w:tcW w:w="1111" w:type="dxa"/>
            <w:shd w:val="clear" w:color="auto" w:fill="FFFFFF"/>
            <w:vAlign w:val="center"/>
          </w:tcPr>
          <w:p w14:paraId="6BAB0158">
            <w:pPr>
              <w:adjustRightInd w:val="0"/>
              <w:snapToGrid w:val="0"/>
              <w:jc w:val="center"/>
              <w:rPr>
                <w:rFonts w:ascii="宋体" w:hAnsi="宋体" w:cs="宋体"/>
                <w:sz w:val="24"/>
              </w:rPr>
            </w:pPr>
            <w:r>
              <w:rPr>
                <w:rFonts w:hint="eastAsia" w:ascii="宋体" w:hAnsi="宋体" w:cs="宋体"/>
                <w:sz w:val="24"/>
              </w:rPr>
              <w:t>安全加固服务</w:t>
            </w:r>
          </w:p>
        </w:tc>
        <w:tc>
          <w:tcPr>
            <w:tcW w:w="5762" w:type="dxa"/>
            <w:shd w:val="clear" w:color="auto" w:fill="FFFFFF"/>
            <w:vAlign w:val="center"/>
          </w:tcPr>
          <w:p w14:paraId="1F93C7F8">
            <w:pPr>
              <w:adjustRightInd w:val="0"/>
              <w:snapToGrid w:val="0"/>
              <w:rPr>
                <w:rFonts w:ascii="宋体" w:hAnsi="宋体" w:cs="宋体"/>
                <w:sz w:val="24"/>
              </w:rPr>
            </w:pPr>
            <w:r>
              <w:rPr>
                <w:rFonts w:hint="eastAsia" w:ascii="宋体" w:hAnsi="宋体" w:cs="宋体"/>
                <w:sz w:val="24"/>
              </w:rPr>
              <w:t>根据网络信息系统安全评估报告及等保测评问题，制定安全加固方案。安全加固方案应覆盖医院所有服务器和网络服务，以及不同类别的操作系统、数据库和应用系统。并在出现不符合规定要</w:t>
            </w:r>
            <w:bookmarkStart w:id="0" w:name="_GoBack"/>
            <w:bookmarkEnd w:id="0"/>
            <w:r>
              <w:rPr>
                <w:rFonts w:hint="eastAsia" w:ascii="宋体" w:hAnsi="宋体" w:cs="宋体"/>
                <w:sz w:val="24"/>
              </w:rPr>
              <w:t>求的事项后，根据需要采取纠正措施与预防性措施。</w:t>
            </w:r>
          </w:p>
          <w:p w14:paraId="0B403E6E">
            <w:pPr>
              <w:adjustRightInd w:val="0"/>
              <w:snapToGrid w:val="0"/>
              <w:rPr>
                <w:rFonts w:ascii="宋体" w:hAnsi="宋体" w:cs="宋体"/>
                <w:sz w:val="24"/>
              </w:rPr>
            </w:pPr>
            <w:r>
              <w:rPr>
                <w:rFonts w:hint="eastAsia" w:ascii="宋体" w:hAnsi="宋体" w:cs="宋体"/>
                <w:sz w:val="24"/>
              </w:rPr>
              <w:t>每季度针对风险评估、基线检查、策略优化等情况，协助医院完成系统安全加固，安全加固信息资产更具实际需求确定。</w:t>
            </w:r>
          </w:p>
          <w:p w14:paraId="1B7DD15B">
            <w:pPr>
              <w:adjustRightInd w:val="0"/>
              <w:snapToGrid w:val="0"/>
              <w:rPr>
                <w:rFonts w:ascii="宋体" w:hAnsi="宋体" w:cs="宋体"/>
                <w:sz w:val="24"/>
              </w:rPr>
            </w:pPr>
            <w:r>
              <w:rPr>
                <w:rFonts w:hint="eastAsia" w:ascii="宋体" w:hAnsi="宋体" w:cs="宋体"/>
                <w:sz w:val="24"/>
              </w:rPr>
              <w:t>交付成果：《安全加固工作报告》</w:t>
            </w:r>
          </w:p>
        </w:tc>
        <w:tc>
          <w:tcPr>
            <w:tcW w:w="788" w:type="dxa"/>
            <w:shd w:val="clear" w:color="auto" w:fill="FFFFFF"/>
          </w:tcPr>
          <w:p w14:paraId="7FD43EAA">
            <w:pPr>
              <w:adjustRightInd w:val="0"/>
              <w:snapToGrid w:val="0"/>
              <w:rPr>
                <w:rFonts w:ascii="宋体" w:hAnsi="宋体" w:cs="宋体"/>
                <w:sz w:val="24"/>
              </w:rPr>
            </w:pPr>
          </w:p>
          <w:p w14:paraId="6D5E501E">
            <w:pPr>
              <w:adjustRightInd w:val="0"/>
              <w:snapToGrid w:val="0"/>
              <w:rPr>
                <w:rFonts w:ascii="宋体" w:hAnsi="宋体" w:cs="宋体"/>
                <w:sz w:val="24"/>
              </w:rPr>
            </w:pPr>
          </w:p>
          <w:p w14:paraId="73EC16D7">
            <w:pPr>
              <w:adjustRightInd w:val="0"/>
              <w:snapToGrid w:val="0"/>
              <w:rPr>
                <w:rFonts w:ascii="宋体" w:hAnsi="宋体" w:cs="宋体"/>
                <w:sz w:val="24"/>
              </w:rPr>
            </w:pPr>
          </w:p>
          <w:p w14:paraId="45B1D4D8">
            <w:pPr>
              <w:adjustRightInd w:val="0"/>
              <w:snapToGrid w:val="0"/>
              <w:rPr>
                <w:rFonts w:ascii="宋体" w:hAnsi="宋体" w:cs="宋体"/>
                <w:sz w:val="24"/>
              </w:rPr>
            </w:pPr>
          </w:p>
          <w:p w14:paraId="3B413DA0">
            <w:pPr>
              <w:adjustRightInd w:val="0"/>
              <w:snapToGrid w:val="0"/>
              <w:rPr>
                <w:rFonts w:ascii="宋体" w:hAnsi="宋体" w:cs="宋体"/>
                <w:sz w:val="24"/>
              </w:rPr>
            </w:pPr>
            <w:r>
              <w:rPr>
                <w:rFonts w:hint="eastAsia" w:ascii="宋体" w:hAnsi="宋体" w:cs="宋体"/>
                <w:sz w:val="24"/>
              </w:rPr>
              <w:t>1项</w:t>
            </w:r>
          </w:p>
        </w:tc>
      </w:tr>
      <w:tr w14:paraId="1D51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7E11B754">
            <w:pPr>
              <w:adjustRightInd w:val="0"/>
              <w:snapToGrid w:val="0"/>
              <w:jc w:val="center"/>
              <w:rPr>
                <w:rFonts w:ascii="宋体" w:hAnsi="宋体" w:cs="宋体"/>
                <w:sz w:val="24"/>
              </w:rPr>
            </w:pPr>
            <w:r>
              <w:rPr>
                <w:rFonts w:hint="eastAsia" w:ascii="宋体" w:hAnsi="宋体" w:cs="宋体"/>
                <w:sz w:val="24"/>
              </w:rPr>
              <w:t>3</w:t>
            </w:r>
          </w:p>
        </w:tc>
        <w:tc>
          <w:tcPr>
            <w:tcW w:w="1111" w:type="dxa"/>
            <w:shd w:val="clear" w:color="auto" w:fill="FFFFFF"/>
            <w:vAlign w:val="center"/>
          </w:tcPr>
          <w:p w14:paraId="5BB48258">
            <w:pPr>
              <w:adjustRightInd w:val="0"/>
              <w:snapToGrid w:val="0"/>
              <w:jc w:val="center"/>
              <w:rPr>
                <w:rFonts w:ascii="宋体" w:hAnsi="宋体" w:cs="宋体"/>
                <w:sz w:val="24"/>
              </w:rPr>
            </w:pPr>
            <w:r>
              <w:rPr>
                <w:rFonts w:hint="eastAsia" w:ascii="宋体" w:hAnsi="宋体" w:cs="宋体"/>
                <w:sz w:val="24"/>
              </w:rPr>
              <w:t>渗透测试服务</w:t>
            </w:r>
          </w:p>
        </w:tc>
        <w:tc>
          <w:tcPr>
            <w:tcW w:w="5762" w:type="dxa"/>
            <w:shd w:val="clear" w:color="auto" w:fill="FFFFFF"/>
            <w:vAlign w:val="center"/>
          </w:tcPr>
          <w:p w14:paraId="339AEC0A">
            <w:pPr>
              <w:adjustRightInd w:val="0"/>
              <w:snapToGrid w:val="0"/>
              <w:rPr>
                <w:rFonts w:ascii="宋体" w:hAnsi="宋体" w:cs="宋体"/>
                <w:sz w:val="24"/>
              </w:rPr>
            </w:pPr>
            <w:r>
              <w:rPr>
                <w:rFonts w:hint="eastAsia" w:ascii="宋体" w:hAnsi="宋体" w:cs="宋体"/>
                <w:sz w:val="24"/>
              </w:rPr>
              <w:t>对医院内外网的所有目标系统进行模拟黑客攻击，不限制攻击路径，不限制攻击手段以夺取目标系统的控制权为最终目的，发现目标系统网络安全防御的不足，以对业务系统的安全现状、安全保护程度进行评估，对整体安全建设进行技术/管理上的优化调整指导。采用自动化渗透测试工具辅助开展渗透测试工作，渗透测试范围应包括操作系统、数据库、应用服务的已知漏洞、不安全配置以及Web应用程序的常见漏洞等。</w:t>
            </w:r>
          </w:p>
          <w:p w14:paraId="0750870B">
            <w:pPr>
              <w:adjustRightInd w:val="0"/>
              <w:snapToGrid w:val="0"/>
              <w:rPr>
                <w:rFonts w:ascii="宋体" w:hAnsi="宋体" w:cs="宋体"/>
                <w:sz w:val="24"/>
              </w:rPr>
            </w:pPr>
            <w:r>
              <w:rPr>
                <w:rFonts w:hint="eastAsia" w:ascii="宋体" w:hAnsi="宋体" w:cs="宋体"/>
                <w:sz w:val="24"/>
              </w:rPr>
              <w:t>并基于渗透测试结果撰写报告，内容涵盖漏洞描述、危害等级、验证过程以及修复建议等。</w:t>
            </w:r>
          </w:p>
          <w:p w14:paraId="116B06EC">
            <w:pPr>
              <w:adjustRightInd w:val="0"/>
              <w:snapToGrid w:val="0"/>
              <w:rPr>
                <w:rFonts w:ascii="宋体" w:hAnsi="宋体" w:cs="宋体"/>
                <w:sz w:val="24"/>
              </w:rPr>
            </w:pPr>
            <w:r>
              <w:rPr>
                <w:rFonts w:hint="eastAsia" w:ascii="宋体" w:hAnsi="宋体" w:cs="宋体"/>
                <w:sz w:val="24"/>
              </w:rPr>
              <w:t>交付成果：《渗透测试报告》，《漏洞修复指导建议》</w:t>
            </w:r>
          </w:p>
        </w:tc>
        <w:tc>
          <w:tcPr>
            <w:tcW w:w="788" w:type="dxa"/>
            <w:shd w:val="clear" w:color="auto" w:fill="FFFFFF"/>
          </w:tcPr>
          <w:p w14:paraId="0EC18B44">
            <w:pPr>
              <w:adjustRightInd w:val="0"/>
              <w:snapToGrid w:val="0"/>
              <w:rPr>
                <w:rFonts w:ascii="宋体" w:hAnsi="宋体" w:cs="宋体"/>
                <w:sz w:val="24"/>
              </w:rPr>
            </w:pPr>
          </w:p>
          <w:p w14:paraId="57F4EFC7">
            <w:pPr>
              <w:adjustRightInd w:val="0"/>
              <w:snapToGrid w:val="0"/>
              <w:rPr>
                <w:rFonts w:ascii="宋体" w:hAnsi="宋体" w:cs="宋体"/>
                <w:sz w:val="24"/>
              </w:rPr>
            </w:pPr>
          </w:p>
          <w:p w14:paraId="7F8E76DA">
            <w:pPr>
              <w:adjustRightInd w:val="0"/>
              <w:snapToGrid w:val="0"/>
              <w:rPr>
                <w:rFonts w:ascii="宋体" w:hAnsi="宋体" w:cs="宋体"/>
                <w:sz w:val="24"/>
              </w:rPr>
            </w:pPr>
          </w:p>
          <w:p w14:paraId="4A98F104">
            <w:pPr>
              <w:adjustRightInd w:val="0"/>
              <w:snapToGrid w:val="0"/>
              <w:rPr>
                <w:rFonts w:ascii="宋体" w:hAnsi="宋体" w:cs="宋体"/>
                <w:sz w:val="24"/>
              </w:rPr>
            </w:pPr>
          </w:p>
          <w:p w14:paraId="3666CDA7">
            <w:pPr>
              <w:adjustRightInd w:val="0"/>
              <w:snapToGrid w:val="0"/>
              <w:rPr>
                <w:rFonts w:ascii="宋体" w:hAnsi="宋体" w:cs="宋体"/>
                <w:sz w:val="24"/>
              </w:rPr>
            </w:pPr>
          </w:p>
          <w:p w14:paraId="2CBBCA81">
            <w:pPr>
              <w:adjustRightInd w:val="0"/>
              <w:snapToGrid w:val="0"/>
              <w:rPr>
                <w:rFonts w:ascii="宋体" w:hAnsi="宋体" w:cs="宋体"/>
                <w:sz w:val="24"/>
              </w:rPr>
            </w:pPr>
            <w:r>
              <w:rPr>
                <w:rFonts w:hint="eastAsia" w:ascii="宋体" w:hAnsi="宋体" w:cs="宋体"/>
                <w:sz w:val="24"/>
              </w:rPr>
              <w:t>1项</w:t>
            </w:r>
          </w:p>
        </w:tc>
      </w:tr>
      <w:tr w14:paraId="5FDC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5079ABEC">
            <w:pPr>
              <w:adjustRightInd w:val="0"/>
              <w:snapToGrid w:val="0"/>
              <w:jc w:val="center"/>
              <w:rPr>
                <w:rFonts w:ascii="宋体" w:hAnsi="宋体" w:cs="宋体"/>
                <w:sz w:val="24"/>
              </w:rPr>
            </w:pPr>
            <w:r>
              <w:rPr>
                <w:rFonts w:hint="eastAsia" w:ascii="宋体" w:hAnsi="宋体" w:cs="宋体"/>
                <w:sz w:val="24"/>
              </w:rPr>
              <w:t>4</w:t>
            </w:r>
          </w:p>
        </w:tc>
        <w:tc>
          <w:tcPr>
            <w:tcW w:w="1111" w:type="dxa"/>
            <w:shd w:val="clear" w:color="auto" w:fill="FFFFFF"/>
            <w:vAlign w:val="center"/>
          </w:tcPr>
          <w:p w14:paraId="348BB8B7">
            <w:pPr>
              <w:adjustRightInd w:val="0"/>
              <w:snapToGrid w:val="0"/>
              <w:jc w:val="center"/>
              <w:rPr>
                <w:rFonts w:ascii="宋体" w:hAnsi="宋体" w:cs="宋体"/>
                <w:sz w:val="24"/>
              </w:rPr>
            </w:pPr>
            <w:r>
              <w:rPr>
                <w:rFonts w:hint="eastAsia" w:ascii="宋体" w:hAnsi="宋体" w:cs="宋体"/>
                <w:sz w:val="24"/>
              </w:rPr>
              <w:t>安全巡检</w:t>
            </w:r>
          </w:p>
        </w:tc>
        <w:tc>
          <w:tcPr>
            <w:tcW w:w="5762" w:type="dxa"/>
            <w:shd w:val="clear" w:color="auto" w:fill="FFFFFF"/>
            <w:vAlign w:val="center"/>
          </w:tcPr>
          <w:p w14:paraId="7223DEFF">
            <w:pPr>
              <w:adjustRightInd w:val="0"/>
              <w:snapToGrid w:val="0"/>
              <w:rPr>
                <w:rFonts w:ascii="宋体" w:hAnsi="宋体" w:cs="宋体"/>
                <w:sz w:val="24"/>
              </w:rPr>
            </w:pPr>
            <w:r>
              <w:rPr>
                <w:rFonts w:hint="eastAsia" w:ascii="宋体" w:hAnsi="宋体" w:cs="宋体"/>
                <w:sz w:val="24"/>
              </w:rPr>
              <w:t>投标人须提供自动化检查工具，通过专业工具和人工检查相结合的方法巡检和核查信息资产，范围需覆盖医院全部在网运行的网络、安全、操作系统、数据库和中间件。</w:t>
            </w:r>
          </w:p>
          <w:p w14:paraId="78F2956E">
            <w:pPr>
              <w:adjustRightInd w:val="0"/>
              <w:snapToGrid w:val="0"/>
              <w:rPr>
                <w:rFonts w:ascii="宋体" w:hAnsi="宋体" w:cs="宋体"/>
                <w:sz w:val="24"/>
              </w:rPr>
            </w:pPr>
            <w:r>
              <w:rPr>
                <w:rFonts w:hint="eastAsia" w:ascii="宋体" w:hAnsi="宋体" w:cs="宋体"/>
                <w:sz w:val="24"/>
              </w:rPr>
              <w:t>全面掌握医院网络安全状况，分析面临的安全威胁和风险，评估安全防护水平，查找突出问题和薄弱环节，提供有针对性的防范对策和改进措施。巡检时间安排根据实际情况进行，每季度至少对医院内安全和重要网络的安全策略全面巡检一次。定期对医院内业务系统进行安全渗透检测，检查和评估目标网站是否存在SQL注入、跨站脚本、木马上传等漏洞，分析掌握Web网站中存在的薄弱环节。</w:t>
            </w:r>
          </w:p>
          <w:p w14:paraId="2EF66566">
            <w:pPr>
              <w:adjustRightInd w:val="0"/>
              <w:snapToGrid w:val="0"/>
              <w:rPr>
                <w:rFonts w:ascii="宋体" w:hAnsi="宋体" w:cs="宋体"/>
                <w:sz w:val="24"/>
              </w:rPr>
            </w:pPr>
            <w:r>
              <w:rPr>
                <w:rFonts w:hint="eastAsia" w:ascii="宋体" w:hAnsi="宋体" w:cs="宋体"/>
                <w:sz w:val="24"/>
              </w:rPr>
              <w:t>交付成果：《季度安全检查报告》</w:t>
            </w:r>
          </w:p>
        </w:tc>
        <w:tc>
          <w:tcPr>
            <w:tcW w:w="788" w:type="dxa"/>
            <w:shd w:val="clear" w:color="auto" w:fill="FFFFFF"/>
          </w:tcPr>
          <w:p w14:paraId="537DF3D2">
            <w:pPr>
              <w:adjustRightInd w:val="0"/>
              <w:snapToGrid w:val="0"/>
              <w:rPr>
                <w:rFonts w:ascii="宋体" w:hAnsi="宋体" w:cs="宋体"/>
                <w:sz w:val="24"/>
              </w:rPr>
            </w:pPr>
          </w:p>
          <w:p w14:paraId="0D639B21">
            <w:pPr>
              <w:adjustRightInd w:val="0"/>
              <w:snapToGrid w:val="0"/>
              <w:rPr>
                <w:rFonts w:ascii="宋体" w:hAnsi="宋体" w:cs="宋体"/>
                <w:sz w:val="24"/>
              </w:rPr>
            </w:pPr>
          </w:p>
          <w:p w14:paraId="0A7515C0">
            <w:pPr>
              <w:adjustRightInd w:val="0"/>
              <w:snapToGrid w:val="0"/>
              <w:rPr>
                <w:rFonts w:ascii="宋体" w:hAnsi="宋体" w:cs="宋体"/>
                <w:sz w:val="24"/>
              </w:rPr>
            </w:pPr>
          </w:p>
          <w:p w14:paraId="7DA38A0D">
            <w:pPr>
              <w:adjustRightInd w:val="0"/>
              <w:snapToGrid w:val="0"/>
              <w:rPr>
                <w:rFonts w:ascii="宋体" w:hAnsi="宋体" w:cs="宋体"/>
                <w:sz w:val="24"/>
              </w:rPr>
            </w:pPr>
          </w:p>
          <w:p w14:paraId="59F507A9">
            <w:pPr>
              <w:adjustRightInd w:val="0"/>
              <w:snapToGrid w:val="0"/>
              <w:rPr>
                <w:rFonts w:ascii="宋体" w:hAnsi="宋体" w:cs="宋体"/>
                <w:sz w:val="24"/>
              </w:rPr>
            </w:pPr>
          </w:p>
          <w:p w14:paraId="1BFF02AF">
            <w:pPr>
              <w:adjustRightInd w:val="0"/>
              <w:snapToGrid w:val="0"/>
              <w:rPr>
                <w:rFonts w:ascii="宋体" w:hAnsi="宋体" w:cs="宋体"/>
                <w:sz w:val="24"/>
              </w:rPr>
            </w:pPr>
            <w:r>
              <w:rPr>
                <w:rFonts w:hint="eastAsia" w:ascii="宋体" w:hAnsi="宋体" w:cs="宋体"/>
                <w:sz w:val="24"/>
              </w:rPr>
              <w:t>1项</w:t>
            </w:r>
          </w:p>
        </w:tc>
      </w:tr>
      <w:tr w14:paraId="5C4C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1AC5230A">
            <w:pPr>
              <w:adjustRightInd w:val="0"/>
              <w:snapToGrid w:val="0"/>
              <w:jc w:val="center"/>
              <w:rPr>
                <w:rFonts w:ascii="宋体" w:hAnsi="宋体" w:cs="宋体"/>
                <w:sz w:val="24"/>
              </w:rPr>
            </w:pPr>
            <w:r>
              <w:rPr>
                <w:rFonts w:hint="eastAsia" w:ascii="宋体" w:hAnsi="宋体" w:cs="宋体"/>
                <w:sz w:val="24"/>
              </w:rPr>
              <w:t>5</w:t>
            </w:r>
          </w:p>
        </w:tc>
        <w:tc>
          <w:tcPr>
            <w:tcW w:w="1111" w:type="dxa"/>
            <w:shd w:val="clear" w:color="auto" w:fill="FFFFFF"/>
            <w:vAlign w:val="center"/>
          </w:tcPr>
          <w:p w14:paraId="54E3EA77">
            <w:pPr>
              <w:adjustRightInd w:val="0"/>
              <w:snapToGrid w:val="0"/>
              <w:jc w:val="center"/>
              <w:rPr>
                <w:rFonts w:ascii="宋体" w:hAnsi="宋体" w:cs="宋体"/>
                <w:sz w:val="24"/>
              </w:rPr>
            </w:pPr>
            <w:r>
              <w:rPr>
                <w:rFonts w:hint="eastAsia" w:ascii="宋体" w:hAnsi="宋体" w:cs="宋体"/>
                <w:sz w:val="24"/>
              </w:rPr>
              <w:t>数据备份恢复演练</w:t>
            </w:r>
          </w:p>
        </w:tc>
        <w:tc>
          <w:tcPr>
            <w:tcW w:w="5762" w:type="dxa"/>
            <w:shd w:val="clear" w:color="auto" w:fill="FFFFFF"/>
            <w:vAlign w:val="center"/>
          </w:tcPr>
          <w:p w14:paraId="2FF96634">
            <w:pPr>
              <w:adjustRightInd w:val="0"/>
              <w:snapToGrid w:val="0"/>
              <w:rPr>
                <w:rFonts w:ascii="宋体" w:hAnsi="宋体" w:cs="宋体"/>
                <w:sz w:val="24"/>
              </w:rPr>
            </w:pPr>
            <w:r>
              <w:rPr>
                <w:rFonts w:hint="eastAsia" w:ascii="宋体" w:hAnsi="宋体" w:cs="宋体"/>
                <w:sz w:val="24"/>
              </w:rPr>
              <w:t>验证备份一体机硬件、备份策略、备份数据的完整性与可用性，检验运维人员应急恢复操作能力，完善数据恢复应急预案，确保业务中断后可快速恢复，满足等保2.0、数据安全管理办法等合规要求，杜绝“备而不能复”的核心风险。</w:t>
            </w:r>
          </w:p>
          <w:p w14:paraId="2DFA0E20">
            <w:pPr>
              <w:adjustRightInd w:val="0"/>
              <w:snapToGrid w:val="0"/>
              <w:rPr>
                <w:rFonts w:ascii="宋体" w:hAnsi="宋体" w:cs="宋体"/>
                <w:sz w:val="24"/>
              </w:rPr>
            </w:pPr>
            <w:r>
              <w:rPr>
                <w:rFonts w:hint="eastAsia" w:ascii="宋体" w:hAnsi="宋体" w:cs="宋体"/>
                <w:sz w:val="24"/>
              </w:rPr>
              <w:t>交付成果：《数据恢复演练报告》</w:t>
            </w:r>
          </w:p>
        </w:tc>
        <w:tc>
          <w:tcPr>
            <w:tcW w:w="788" w:type="dxa"/>
            <w:shd w:val="clear" w:color="auto" w:fill="FFFFFF"/>
          </w:tcPr>
          <w:p w14:paraId="07997DC9">
            <w:pPr>
              <w:adjustRightInd w:val="0"/>
              <w:snapToGrid w:val="0"/>
              <w:rPr>
                <w:rFonts w:ascii="宋体" w:hAnsi="宋体" w:cs="宋体"/>
                <w:sz w:val="24"/>
              </w:rPr>
            </w:pPr>
          </w:p>
          <w:p w14:paraId="06968CEE">
            <w:pPr>
              <w:adjustRightInd w:val="0"/>
              <w:snapToGrid w:val="0"/>
              <w:rPr>
                <w:rFonts w:ascii="宋体" w:hAnsi="宋体" w:cs="宋体"/>
                <w:sz w:val="24"/>
              </w:rPr>
            </w:pPr>
          </w:p>
          <w:p w14:paraId="192361A0">
            <w:pPr>
              <w:adjustRightInd w:val="0"/>
              <w:snapToGrid w:val="0"/>
              <w:rPr>
                <w:rFonts w:ascii="宋体" w:hAnsi="宋体" w:cs="宋体"/>
                <w:sz w:val="24"/>
              </w:rPr>
            </w:pPr>
            <w:r>
              <w:rPr>
                <w:rFonts w:hint="eastAsia" w:ascii="宋体" w:hAnsi="宋体" w:cs="宋体"/>
                <w:sz w:val="24"/>
              </w:rPr>
              <w:t>1项</w:t>
            </w:r>
          </w:p>
        </w:tc>
      </w:tr>
      <w:tr w14:paraId="2CBA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35" w:type="dxa"/>
            <w:shd w:val="clear" w:color="auto" w:fill="FFFFFF"/>
            <w:vAlign w:val="center"/>
          </w:tcPr>
          <w:p w14:paraId="194E93F4">
            <w:pPr>
              <w:adjustRightInd w:val="0"/>
              <w:snapToGrid w:val="0"/>
              <w:jc w:val="center"/>
              <w:rPr>
                <w:rFonts w:ascii="宋体" w:hAnsi="宋体" w:cs="宋体"/>
                <w:sz w:val="24"/>
              </w:rPr>
            </w:pPr>
            <w:r>
              <w:rPr>
                <w:rFonts w:hint="eastAsia" w:ascii="宋体" w:hAnsi="宋体" w:cs="宋体"/>
                <w:sz w:val="24"/>
              </w:rPr>
              <w:t>6</w:t>
            </w:r>
          </w:p>
        </w:tc>
        <w:tc>
          <w:tcPr>
            <w:tcW w:w="1111" w:type="dxa"/>
            <w:shd w:val="clear" w:color="auto" w:fill="FFFFFF"/>
            <w:vAlign w:val="center"/>
          </w:tcPr>
          <w:p w14:paraId="100B5550">
            <w:pPr>
              <w:adjustRightInd w:val="0"/>
              <w:snapToGrid w:val="0"/>
              <w:jc w:val="center"/>
              <w:rPr>
                <w:rFonts w:ascii="宋体" w:hAnsi="宋体" w:cs="宋体"/>
                <w:sz w:val="24"/>
              </w:rPr>
            </w:pPr>
            <w:r>
              <w:rPr>
                <w:rFonts w:hint="eastAsia" w:ascii="宋体" w:hAnsi="宋体" w:cs="宋体"/>
                <w:sz w:val="24"/>
              </w:rPr>
              <w:t>攻防演练重保</w:t>
            </w:r>
          </w:p>
        </w:tc>
        <w:tc>
          <w:tcPr>
            <w:tcW w:w="5762" w:type="dxa"/>
            <w:shd w:val="clear" w:color="auto" w:fill="FFFFFF"/>
            <w:vAlign w:val="center"/>
          </w:tcPr>
          <w:p w14:paraId="5B7140BB">
            <w:pPr>
              <w:adjustRightInd w:val="0"/>
              <w:snapToGrid w:val="0"/>
              <w:rPr>
                <w:rFonts w:ascii="宋体" w:hAnsi="宋体" w:cs="宋体"/>
                <w:sz w:val="24"/>
              </w:rPr>
            </w:pPr>
            <w:r>
              <w:rPr>
                <w:rFonts w:hint="eastAsia" w:ascii="宋体" w:hAnsi="宋体" w:cs="宋体"/>
                <w:sz w:val="24"/>
              </w:rPr>
              <w:t>积极配合省级主管部门一年一度的攻防对抗重保服务，满足省级主管部门每年下达的网络安全任务指标</w:t>
            </w:r>
          </w:p>
        </w:tc>
        <w:tc>
          <w:tcPr>
            <w:tcW w:w="788" w:type="dxa"/>
            <w:shd w:val="clear" w:color="auto" w:fill="FFFFFF"/>
          </w:tcPr>
          <w:p w14:paraId="0513FCB7">
            <w:pPr>
              <w:adjustRightInd w:val="0"/>
              <w:snapToGrid w:val="0"/>
              <w:rPr>
                <w:rFonts w:ascii="宋体" w:hAnsi="宋体" w:cs="宋体"/>
                <w:sz w:val="24"/>
              </w:rPr>
            </w:pPr>
          </w:p>
          <w:p w14:paraId="0316B417">
            <w:pPr>
              <w:adjustRightInd w:val="0"/>
              <w:snapToGrid w:val="0"/>
              <w:rPr>
                <w:rFonts w:ascii="宋体" w:hAnsi="宋体" w:cs="宋体"/>
                <w:sz w:val="24"/>
              </w:rPr>
            </w:pPr>
            <w:r>
              <w:rPr>
                <w:rFonts w:hint="eastAsia" w:ascii="宋体" w:hAnsi="宋体" w:cs="宋体"/>
                <w:sz w:val="24"/>
              </w:rPr>
              <w:t>1项</w:t>
            </w:r>
          </w:p>
        </w:tc>
      </w:tr>
      <w:tr w14:paraId="7129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769E01B7">
            <w:pPr>
              <w:adjustRightInd w:val="0"/>
              <w:snapToGrid w:val="0"/>
              <w:jc w:val="center"/>
              <w:rPr>
                <w:rFonts w:ascii="宋体" w:hAnsi="宋体" w:cs="宋体"/>
                <w:sz w:val="24"/>
              </w:rPr>
            </w:pPr>
            <w:r>
              <w:rPr>
                <w:rFonts w:hint="eastAsia" w:ascii="宋体" w:hAnsi="宋体" w:cs="宋体"/>
                <w:sz w:val="24"/>
              </w:rPr>
              <w:t>7</w:t>
            </w:r>
          </w:p>
        </w:tc>
        <w:tc>
          <w:tcPr>
            <w:tcW w:w="1111" w:type="dxa"/>
            <w:shd w:val="clear" w:color="auto" w:fill="FFFFFF"/>
            <w:vAlign w:val="center"/>
          </w:tcPr>
          <w:p w14:paraId="4F444128">
            <w:pPr>
              <w:adjustRightInd w:val="0"/>
              <w:snapToGrid w:val="0"/>
              <w:jc w:val="center"/>
              <w:rPr>
                <w:rFonts w:ascii="宋体" w:hAnsi="宋体" w:cs="宋体"/>
                <w:sz w:val="24"/>
              </w:rPr>
            </w:pPr>
            <w:r>
              <w:rPr>
                <w:rFonts w:hint="eastAsia" w:ascii="宋体" w:hAnsi="宋体" w:cs="宋体"/>
                <w:sz w:val="24"/>
              </w:rPr>
              <w:t>等保测评证书</w:t>
            </w:r>
          </w:p>
        </w:tc>
        <w:tc>
          <w:tcPr>
            <w:tcW w:w="5762" w:type="dxa"/>
            <w:shd w:val="clear" w:color="auto" w:fill="FFFFFF"/>
            <w:vAlign w:val="center"/>
          </w:tcPr>
          <w:p w14:paraId="4DEF1B13">
            <w:pPr>
              <w:adjustRightInd w:val="0"/>
              <w:snapToGrid w:val="0"/>
              <w:rPr>
                <w:rFonts w:ascii="宋体" w:hAnsi="宋体" w:cs="宋体"/>
                <w:sz w:val="24"/>
              </w:rPr>
            </w:pPr>
            <w:r>
              <w:rPr>
                <w:rFonts w:hint="eastAsia" w:ascii="宋体" w:hAnsi="宋体" w:cs="宋体"/>
                <w:sz w:val="24"/>
              </w:rPr>
              <w:t>对单位的HIS（含EMR）、LIS、互联网医院平台（含OA办公系统）、体检中心系统、PACS系统系统进行测评，并提交最终评分合格的测评报告；</w:t>
            </w:r>
            <w:r>
              <w:rPr>
                <w:rFonts w:hint="eastAsia" w:ascii="宋体" w:hAnsi="宋体" w:cs="宋体"/>
                <w:sz w:val="24"/>
              </w:rPr>
              <w:br w:type="textWrapping"/>
            </w:r>
            <w:r>
              <w:rPr>
                <w:rFonts w:hint="eastAsia" w:ascii="宋体" w:hAnsi="宋体" w:cs="宋体"/>
                <w:sz w:val="24"/>
              </w:rPr>
              <w:t>1.提供信息化资产梳理、运行状态监控、安全事件分析、威胁流量检测、安全信息通告和处置方案建议等服务。2.通过专业安全扫描工具对用户单位所有包括但不限于操作系统、网络设备和应用系统等IT资源进行漏洞扫描，并输出脆弱性扫描报告，针对高、中、低风险项进行漏洞验证、安全分析和加固建议。3.根据测评报告针对网络安全等级保护对象（信息系统）存在且可处理的高、中、低风险项进行风险补偿、配置优化和策略调整，采用专业的主机加固工具提供主机安全基线扫描、加固和防护服务。</w:t>
            </w:r>
          </w:p>
          <w:p w14:paraId="70FFBF1F">
            <w:pPr>
              <w:pStyle w:val="11"/>
              <w:rPr>
                <w:rFonts w:ascii="宋体" w:hAnsi="宋体" w:cs="宋体"/>
              </w:rPr>
            </w:pPr>
            <w:r>
              <w:rPr>
                <w:rFonts w:hint="eastAsia" w:ascii="宋体" w:hAnsi="宋体" w:cs="宋体"/>
                <w:sz w:val="24"/>
              </w:rPr>
              <w:t>交付成果：协助采购人取得《信息系统等级保护备案证明》</w:t>
            </w:r>
          </w:p>
        </w:tc>
        <w:tc>
          <w:tcPr>
            <w:tcW w:w="788" w:type="dxa"/>
            <w:shd w:val="clear" w:color="auto" w:fill="FFFFFF"/>
          </w:tcPr>
          <w:p w14:paraId="26D4159E">
            <w:pPr>
              <w:adjustRightInd w:val="0"/>
              <w:snapToGrid w:val="0"/>
              <w:rPr>
                <w:rFonts w:ascii="宋体" w:hAnsi="宋体" w:cs="宋体"/>
                <w:sz w:val="24"/>
              </w:rPr>
            </w:pPr>
          </w:p>
          <w:p w14:paraId="12260DD2">
            <w:pPr>
              <w:rPr>
                <w:rFonts w:ascii="宋体" w:hAnsi="宋体" w:cs="宋体"/>
                <w:sz w:val="24"/>
              </w:rPr>
            </w:pPr>
          </w:p>
          <w:p w14:paraId="5F76D422">
            <w:pPr>
              <w:rPr>
                <w:rFonts w:ascii="宋体" w:hAnsi="宋体" w:cs="宋体"/>
                <w:sz w:val="24"/>
              </w:rPr>
            </w:pPr>
          </w:p>
          <w:p w14:paraId="48C59326">
            <w:pPr>
              <w:rPr>
                <w:rFonts w:ascii="宋体" w:hAnsi="宋体" w:cs="宋体"/>
                <w:sz w:val="24"/>
              </w:rPr>
            </w:pPr>
          </w:p>
          <w:p w14:paraId="3CE78A28">
            <w:pPr>
              <w:rPr>
                <w:rFonts w:ascii="宋体" w:hAnsi="宋体" w:cs="宋体"/>
                <w:sz w:val="24"/>
              </w:rPr>
            </w:pPr>
          </w:p>
          <w:p w14:paraId="6C8BBB1C">
            <w:pPr>
              <w:rPr>
                <w:rFonts w:ascii="宋体" w:hAnsi="宋体" w:cs="宋体"/>
                <w:sz w:val="24"/>
              </w:rPr>
            </w:pPr>
          </w:p>
          <w:p w14:paraId="56C676D8">
            <w:pPr>
              <w:rPr>
                <w:rFonts w:ascii="宋体" w:hAnsi="宋体" w:cs="宋体"/>
                <w:sz w:val="24"/>
              </w:rPr>
            </w:pPr>
          </w:p>
          <w:p w14:paraId="62ED23F9">
            <w:pPr>
              <w:rPr>
                <w:rFonts w:ascii="宋体" w:hAnsi="宋体" w:cs="宋体"/>
                <w:sz w:val="24"/>
              </w:rPr>
            </w:pPr>
            <w:r>
              <w:rPr>
                <w:rFonts w:hint="eastAsia" w:ascii="宋体" w:hAnsi="宋体" w:cs="宋体"/>
                <w:sz w:val="24"/>
              </w:rPr>
              <w:t>1项</w:t>
            </w:r>
          </w:p>
        </w:tc>
      </w:tr>
      <w:tr w14:paraId="4FFE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035438C9">
            <w:pPr>
              <w:adjustRightInd w:val="0"/>
              <w:snapToGrid w:val="0"/>
              <w:jc w:val="center"/>
              <w:rPr>
                <w:rFonts w:ascii="宋体" w:hAnsi="宋体" w:cs="宋体"/>
                <w:sz w:val="24"/>
              </w:rPr>
            </w:pPr>
          </w:p>
          <w:p w14:paraId="5B5216F2">
            <w:pPr>
              <w:adjustRightInd w:val="0"/>
              <w:snapToGrid w:val="0"/>
              <w:jc w:val="center"/>
              <w:rPr>
                <w:rFonts w:ascii="宋体" w:hAnsi="宋体" w:cs="宋体"/>
                <w:sz w:val="24"/>
              </w:rPr>
            </w:pPr>
          </w:p>
          <w:p w14:paraId="698808EC">
            <w:pPr>
              <w:adjustRightInd w:val="0"/>
              <w:snapToGrid w:val="0"/>
              <w:jc w:val="center"/>
              <w:rPr>
                <w:rFonts w:ascii="宋体" w:hAnsi="宋体" w:cs="宋体"/>
                <w:sz w:val="24"/>
              </w:rPr>
            </w:pPr>
          </w:p>
          <w:p w14:paraId="2CC6ABA2">
            <w:pPr>
              <w:adjustRightInd w:val="0"/>
              <w:snapToGrid w:val="0"/>
              <w:jc w:val="center"/>
              <w:rPr>
                <w:rFonts w:ascii="宋体" w:hAnsi="宋体" w:cs="宋体"/>
                <w:sz w:val="24"/>
              </w:rPr>
            </w:pPr>
          </w:p>
          <w:p w14:paraId="60B331F4">
            <w:pPr>
              <w:adjustRightInd w:val="0"/>
              <w:snapToGrid w:val="0"/>
              <w:jc w:val="center"/>
              <w:rPr>
                <w:rFonts w:ascii="宋体" w:hAnsi="宋体" w:cs="宋体"/>
                <w:sz w:val="24"/>
              </w:rPr>
            </w:pPr>
          </w:p>
          <w:p w14:paraId="58D8EC22">
            <w:pPr>
              <w:adjustRightInd w:val="0"/>
              <w:snapToGrid w:val="0"/>
              <w:jc w:val="center"/>
              <w:rPr>
                <w:rFonts w:ascii="宋体" w:hAnsi="宋体" w:cs="宋体"/>
                <w:sz w:val="24"/>
              </w:rPr>
            </w:pPr>
            <w:r>
              <w:rPr>
                <w:rFonts w:hint="eastAsia" w:ascii="宋体" w:hAnsi="宋体" w:cs="宋体"/>
                <w:sz w:val="24"/>
              </w:rPr>
              <w:t>8</w:t>
            </w:r>
          </w:p>
          <w:p w14:paraId="61D284BE">
            <w:pPr>
              <w:adjustRightInd w:val="0"/>
              <w:snapToGrid w:val="0"/>
              <w:jc w:val="center"/>
              <w:rPr>
                <w:rFonts w:ascii="宋体" w:hAnsi="宋体" w:cs="宋体"/>
                <w:sz w:val="24"/>
              </w:rPr>
            </w:pPr>
          </w:p>
          <w:p w14:paraId="0418C4B6">
            <w:pPr>
              <w:adjustRightInd w:val="0"/>
              <w:snapToGrid w:val="0"/>
              <w:jc w:val="center"/>
              <w:rPr>
                <w:rFonts w:ascii="宋体" w:hAnsi="宋体" w:cs="宋体"/>
                <w:sz w:val="24"/>
              </w:rPr>
            </w:pPr>
          </w:p>
          <w:p w14:paraId="2F0C7E18">
            <w:pPr>
              <w:adjustRightInd w:val="0"/>
              <w:snapToGrid w:val="0"/>
              <w:jc w:val="center"/>
              <w:rPr>
                <w:rFonts w:ascii="宋体" w:hAnsi="宋体" w:cs="宋体"/>
                <w:sz w:val="24"/>
              </w:rPr>
            </w:pPr>
          </w:p>
          <w:p w14:paraId="26D13AA1">
            <w:pPr>
              <w:adjustRightInd w:val="0"/>
              <w:snapToGrid w:val="0"/>
              <w:jc w:val="center"/>
              <w:rPr>
                <w:rFonts w:ascii="宋体" w:hAnsi="宋体" w:cs="宋体"/>
                <w:sz w:val="24"/>
              </w:rPr>
            </w:pPr>
          </w:p>
          <w:p w14:paraId="279ADFEA">
            <w:pPr>
              <w:adjustRightInd w:val="0"/>
              <w:snapToGrid w:val="0"/>
              <w:jc w:val="center"/>
              <w:rPr>
                <w:rFonts w:ascii="宋体" w:hAnsi="宋体" w:cs="宋体"/>
                <w:sz w:val="24"/>
              </w:rPr>
            </w:pPr>
          </w:p>
        </w:tc>
        <w:tc>
          <w:tcPr>
            <w:tcW w:w="1111" w:type="dxa"/>
            <w:shd w:val="clear" w:color="auto" w:fill="FFFFFF"/>
            <w:vAlign w:val="center"/>
          </w:tcPr>
          <w:p w14:paraId="661D8381">
            <w:pPr>
              <w:adjustRightInd w:val="0"/>
              <w:snapToGrid w:val="0"/>
              <w:jc w:val="center"/>
              <w:rPr>
                <w:rFonts w:ascii="宋体" w:hAnsi="宋体" w:cs="宋体"/>
                <w:sz w:val="24"/>
              </w:rPr>
            </w:pPr>
            <w:r>
              <w:rPr>
                <w:rFonts w:hint="eastAsia" w:ascii="宋体" w:hAnsi="宋体" w:cs="宋体"/>
                <w:sz w:val="24"/>
              </w:rPr>
              <w:t>零信任</w:t>
            </w:r>
          </w:p>
        </w:tc>
        <w:tc>
          <w:tcPr>
            <w:tcW w:w="5762" w:type="dxa"/>
            <w:shd w:val="clear" w:color="auto" w:fill="FFFFFF"/>
            <w:vAlign w:val="center"/>
          </w:tcPr>
          <w:p w14:paraId="785362C1">
            <w:pPr>
              <w:adjustRightInd w:val="0"/>
              <w:snapToGrid w:val="0"/>
              <w:rPr>
                <w:rFonts w:ascii="宋体" w:hAnsi="宋体" w:cs="宋体"/>
                <w:sz w:val="24"/>
              </w:rPr>
            </w:pPr>
            <w:r>
              <w:rPr>
                <w:rFonts w:hint="eastAsia" w:ascii="宋体" w:hAnsi="宋体" w:cs="宋体"/>
                <w:sz w:val="24"/>
              </w:rPr>
              <w:t>1、产品提供不少于8千兆电口+2万兆光口SFP+，标准1U机箱，最大理论加密流量（Mbps）≥480,最大并发用户数≥800，提供≥350个接入授权，需提供三年硬件质保、软件升级。</w:t>
            </w:r>
          </w:p>
          <w:p w14:paraId="08A36154">
            <w:pPr>
              <w:adjustRightInd w:val="0"/>
              <w:snapToGrid w:val="0"/>
              <w:rPr>
                <w:rFonts w:ascii="宋体" w:hAnsi="宋体" w:cs="宋体"/>
                <w:sz w:val="24"/>
              </w:rPr>
            </w:pPr>
            <w:r>
              <w:rPr>
                <w:rFonts w:hint="eastAsia" w:ascii="宋体" w:hAnsi="宋体" w:cs="宋体"/>
                <w:sz w:val="24"/>
              </w:rPr>
              <w:t>2、支持配置点击工作台的业务应用即可直接拉起对应的CS程序进行访问，包括但不限于浏览器、远程桌面或其他指定程序，支持Windows、macOS、统信UOS、麒麟kylin、Ubuntu等主流操作系统；（需提供产品功能截图证明）</w:t>
            </w:r>
          </w:p>
          <w:p w14:paraId="1BB6D67B">
            <w:pPr>
              <w:adjustRightInd w:val="0"/>
              <w:snapToGrid w:val="0"/>
              <w:rPr>
                <w:rFonts w:ascii="宋体" w:hAnsi="宋体" w:cs="宋体"/>
                <w:sz w:val="24"/>
              </w:rPr>
            </w:pPr>
            <w:r>
              <w:rPr>
                <w:rFonts w:hint="eastAsia" w:ascii="宋体" w:hAnsi="宋体" w:cs="宋体"/>
                <w:sz w:val="24"/>
              </w:rPr>
              <w:t>3、支持配置企业的CDN作为零信任客户端下载地址以降低带宽压力。当客户端通过CDN加速等代理方式接入访问业务系统时，支持获取CDN加速前的访问IP，并在日志中记录此IP为客户端IP。（需提供产品功能截图证明）</w:t>
            </w:r>
          </w:p>
          <w:p w14:paraId="34C76EAF">
            <w:pPr>
              <w:adjustRightInd w:val="0"/>
              <w:snapToGrid w:val="0"/>
              <w:rPr>
                <w:rFonts w:ascii="宋体" w:hAnsi="宋体" w:cs="宋体"/>
                <w:sz w:val="24"/>
              </w:rPr>
            </w:pPr>
            <w:r>
              <w:rPr>
                <w:rFonts w:hint="eastAsia" w:ascii="宋体" w:hAnsi="宋体" w:cs="宋体"/>
                <w:sz w:val="24"/>
              </w:rPr>
              <w:t>4、为强化系统认证安全性，可配置在触发异常环境的条件时，用户需完成增强认证才可登录。可配置的异常环境包括但不限于：账号首次登录、帐号在该终端首次登录、闲置账号登录、弱密码登录、异常时间登录、非常用地点登录等。（需提供产品功能截图证明）</w:t>
            </w:r>
          </w:p>
          <w:p w14:paraId="5CE330B8">
            <w:pPr>
              <w:adjustRightInd w:val="0"/>
              <w:snapToGrid w:val="0"/>
              <w:rPr>
                <w:rFonts w:ascii="宋体" w:hAnsi="宋体" w:cs="宋体"/>
                <w:sz w:val="24"/>
              </w:rPr>
            </w:pPr>
            <w:r>
              <w:rPr>
                <w:rFonts w:hint="eastAsia" w:ascii="宋体" w:hAnsi="宋体" w:cs="宋体"/>
                <w:sz w:val="24"/>
              </w:rPr>
              <w:t>5、为提升业务应用的数据安全性，零信任系统应支持针对发布的WEB应用开启WEB水印，水印内容至少包括：用户名+当前年月日，起到威慑与溯源作用；应支持对WEB应用禁止复制、禁止打印、禁止下载、禁止鼠标右键、禁止浏览器调试功能，以保护应用的数据安全与应用安全。（需提供产品功能截图证明）</w:t>
            </w:r>
          </w:p>
          <w:p w14:paraId="3C1D19E3">
            <w:pPr>
              <w:adjustRightInd w:val="0"/>
              <w:snapToGrid w:val="0"/>
              <w:rPr>
                <w:rFonts w:ascii="宋体" w:hAnsi="宋体" w:cs="宋体"/>
                <w:sz w:val="24"/>
              </w:rPr>
            </w:pPr>
            <w:r>
              <w:rPr>
                <w:rFonts w:hint="eastAsia" w:ascii="宋体" w:hAnsi="宋体" w:cs="宋体"/>
                <w:sz w:val="24"/>
              </w:rPr>
              <w:t>6、为保障业务正常访问，客户端应兼容主流操作系统和芯片，操作系统至少包括Windows、macOS、麒麟、UOS、中科方德、Ubuntu、Android、iOS、HarmonyOS next，芯片至少包括兆芯、海光、飞腾、鲲鹏、海思麒麟、龙芯（含龙芯3A4000和龙芯3A5000）。（需提供产品界面客户端下载页兼容性截图证明，国产系统需提供零信任厂商与国产操作系统的兼容性证明）</w:t>
            </w:r>
          </w:p>
          <w:p w14:paraId="1193139A">
            <w:pPr>
              <w:adjustRightInd w:val="0"/>
              <w:snapToGrid w:val="0"/>
              <w:rPr>
                <w:rFonts w:ascii="宋体" w:hAnsi="宋体" w:cs="宋体"/>
                <w:sz w:val="24"/>
              </w:rPr>
            </w:pPr>
            <w:r>
              <w:rPr>
                <w:rFonts w:hint="eastAsia" w:ascii="宋体" w:hAnsi="宋体" w:cs="宋体"/>
                <w:sz w:val="24"/>
              </w:rPr>
              <w:t>7、支持以虚拟IP方式，访问真实的业务系统，以便于审计设备区分访问用户。（需提供产品功能截图及第三方权威检测机构出具的带CMA、CNAS标识的检测报告证明，至少包含报告首页，对应功能测试页和报告尾页）</w:t>
            </w:r>
          </w:p>
          <w:p w14:paraId="37AD47D1">
            <w:pPr>
              <w:adjustRightInd w:val="0"/>
              <w:snapToGrid w:val="0"/>
              <w:rPr>
                <w:rFonts w:ascii="宋体" w:hAnsi="宋体" w:cs="宋体"/>
                <w:sz w:val="24"/>
              </w:rPr>
            </w:pPr>
            <w:r>
              <w:rPr>
                <w:rFonts w:hint="eastAsia" w:ascii="宋体" w:hAnsi="宋体" w:cs="宋体"/>
                <w:sz w:val="24"/>
              </w:rPr>
              <w:t>8、为了最大程度缩小网络、业务暴露面，零信任平台需提供单包授权能力（SPA），支持UDP+TCP组合的单包授权技术，未授权用户无法连接零信任设备，无法扫描到服务端口。安全码支持共享码和一人一码及一次一码三种模式，可通过短信分发安全码。一人一码模式下，当实际登录用户跟分发SPA安全码绑定的用户不一致时，零信任系统可以产生安全告警。一次一码模式下激活码被用户使用并正常登录零信任系统后转换为安全码加密存储，换码成功后激活码失效，控制台日志须体现用户首次登录后的换码过程。（需提供产品功能截图证明）</w:t>
            </w:r>
          </w:p>
          <w:p w14:paraId="033C62B0">
            <w:pPr>
              <w:adjustRightInd w:val="0"/>
              <w:snapToGrid w:val="0"/>
              <w:rPr>
                <w:rFonts w:ascii="宋体" w:hAnsi="宋体" w:cs="宋体"/>
                <w:sz w:val="24"/>
              </w:rPr>
            </w:pPr>
            <w:r>
              <w:rPr>
                <w:rFonts w:hint="eastAsia" w:ascii="宋体" w:hAnsi="宋体" w:cs="宋体"/>
                <w:sz w:val="24"/>
              </w:rPr>
              <w:t>9、PC端和移动端均支持通过安全码激活客户端为授权客户端，从而可进行SPA敲门和连接，安全码支持共享码、一人一码和一次一码等多种模式，支持短信分发安全码，保障业务的安全性。不同安全码模式均应同时支持PC端和移动端使用。（需提供具有CNAS、CMA的第三方测试机构的检测报告证明，至少包含报告首页，对应功能测试页和报告尾页）</w:t>
            </w:r>
          </w:p>
          <w:p w14:paraId="4A6EF896">
            <w:pPr>
              <w:adjustRightInd w:val="0"/>
              <w:snapToGrid w:val="0"/>
              <w:rPr>
                <w:rFonts w:ascii="宋体" w:hAnsi="宋体" w:cs="宋体"/>
                <w:sz w:val="24"/>
              </w:rPr>
            </w:pPr>
            <w:r>
              <w:rPr>
                <w:rFonts w:hint="eastAsia" w:ascii="宋体" w:hAnsi="宋体" w:cs="宋体"/>
                <w:sz w:val="24"/>
              </w:rPr>
              <w:t>10、为了使系统资源利用最大化，本地集群与分布式集群下各节点的零信任授权数均可共享使用，集群的总接入授权数是各节点授权数的总和。集群节点故障后分布式集群及本地集群均需支持授权漂移机制，总授权数与故障前保持一致；（需提供产品功能截图及第三方权威检测机构出具的带CNAS标识的检测报告证明）</w:t>
            </w:r>
          </w:p>
          <w:p w14:paraId="5A29BA6A">
            <w:pPr>
              <w:adjustRightInd w:val="0"/>
              <w:snapToGrid w:val="0"/>
              <w:rPr>
                <w:rFonts w:ascii="宋体" w:hAnsi="宋体" w:cs="宋体"/>
                <w:sz w:val="24"/>
              </w:rPr>
            </w:pPr>
            <w:r>
              <w:rPr>
                <w:rFonts w:hint="eastAsia" w:ascii="宋体" w:hAnsi="宋体" w:cs="宋体"/>
                <w:sz w:val="24"/>
              </w:rPr>
              <w:t>11、支持用户安全日志提取，审计中心应将具有异常登录行为的用户日志自动打标签为用户安全日志，以便于管理员快速审计定位。用户安全日志包括但不限于：帐号安全（应包含帐号首次登录、异常时间登录、非常用地点登录、弱密码登录、爆破登录、闲置帐号登录、帐号在新终端登录等）、中间人攻击、SPA安全（应包含SPA端口扫描、SPA爆破攻击、SPA敲门伪造、SPA重放攻击、SPA安全码泄漏等）、cookie劫持等。（需提供产品功能截图证明）</w:t>
            </w:r>
          </w:p>
          <w:p w14:paraId="1DFA22BF">
            <w:pPr>
              <w:adjustRightInd w:val="0"/>
              <w:snapToGrid w:val="0"/>
              <w:rPr>
                <w:rFonts w:ascii="宋体" w:hAnsi="宋体" w:cs="宋体"/>
                <w:sz w:val="24"/>
              </w:rPr>
            </w:pPr>
            <w:r>
              <w:rPr>
                <w:rFonts w:hint="eastAsia" w:ascii="宋体" w:hAnsi="宋体" w:cs="宋体"/>
                <w:sz w:val="24"/>
              </w:rPr>
              <w:t>12、为降低业务访问时延，提升访问体验，应支持将短隧道资源新建连接耗时优化至 0RTT，大幅降低业务访问的网络时延，实现同等网络环境下访问速度接近甚至达到直连访问。（需提供产品功能截图证明）</w:t>
            </w:r>
          </w:p>
          <w:p w14:paraId="7E0D739B">
            <w:pPr>
              <w:adjustRightInd w:val="0"/>
              <w:snapToGrid w:val="0"/>
              <w:rPr>
                <w:rFonts w:ascii="宋体" w:hAnsi="宋体" w:cs="宋体"/>
                <w:sz w:val="24"/>
              </w:rPr>
            </w:pPr>
            <w:r>
              <w:rPr>
                <w:rFonts w:hint="eastAsia" w:ascii="宋体" w:hAnsi="宋体" w:cs="宋体"/>
                <w:sz w:val="24"/>
              </w:rPr>
              <w:t>13、支持iOS、安卓、鸿蒙Next手机APP集成零信任SDK，从而实现安全接入、数据安全沙箱等功能，避免单独安装零信任手机客户端，支持通过控制台上传Android、iOS原包应用进行自动封装。支持为已经集成零信任SDK并发布到安卓或iOS应用市场的公有化生态应用配置策略，使其具有零信任接入能力及数据防泄漏能力（需提供产品功能截图证明）</w:t>
            </w:r>
          </w:p>
          <w:p w14:paraId="115F66C3">
            <w:pPr>
              <w:adjustRightInd w:val="0"/>
              <w:snapToGrid w:val="0"/>
              <w:rPr>
                <w:rFonts w:ascii="宋体" w:hAnsi="宋体" w:cs="宋体"/>
                <w:sz w:val="24"/>
              </w:rPr>
            </w:pPr>
            <w:r>
              <w:rPr>
                <w:rFonts w:hint="eastAsia" w:ascii="宋体" w:hAnsi="宋体" w:cs="宋体"/>
                <w:sz w:val="24"/>
              </w:rPr>
              <w:t>14、为证明产品方案的成熟性与先进性，所投零信任产品需在2024年IDC中国零信任网络访问解决方案 厂商评估报告中位于领导者类别。（需出具由IDC盖章确认的证明文件。）</w:t>
            </w:r>
          </w:p>
        </w:tc>
        <w:tc>
          <w:tcPr>
            <w:tcW w:w="788" w:type="dxa"/>
            <w:shd w:val="clear" w:color="auto" w:fill="FFFFFF"/>
          </w:tcPr>
          <w:p w14:paraId="65F5CB88">
            <w:pPr>
              <w:adjustRightInd w:val="0"/>
              <w:snapToGrid w:val="0"/>
              <w:rPr>
                <w:rFonts w:ascii="宋体" w:hAnsi="宋体" w:cs="宋体"/>
                <w:sz w:val="24"/>
              </w:rPr>
            </w:pPr>
          </w:p>
          <w:p w14:paraId="68751581">
            <w:pPr>
              <w:adjustRightInd w:val="0"/>
              <w:snapToGrid w:val="0"/>
              <w:rPr>
                <w:rFonts w:ascii="宋体" w:hAnsi="宋体" w:cs="宋体"/>
                <w:sz w:val="24"/>
              </w:rPr>
            </w:pPr>
          </w:p>
          <w:p w14:paraId="610B7DAD">
            <w:pPr>
              <w:adjustRightInd w:val="0"/>
              <w:snapToGrid w:val="0"/>
              <w:rPr>
                <w:rFonts w:ascii="宋体" w:hAnsi="宋体" w:cs="宋体"/>
                <w:sz w:val="24"/>
              </w:rPr>
            </w:pPr>
          </w:p>
          <w:p w14:paraId="4E5DB774">
            <w:pPr>
              <w:adjustRightInd w:val="0"/>
              <w:snapToGrid w:val="0"/>
              <w:rPr>
                <w:rFonts w:ascii="宋体" w:hAnsi="宋体" w:cs="宋体"/>
                <w:sz w:val="24"/>
              </w:rPr>
            </w:pPr>
          </w:p>
          <w:p w14:paraId="7C7D4A6B">
            <w:pPr>
              <w:adjustRightInd w:val="0"/>
              <w:snapToGrid w:val="0"/>
              <w:rPr>
                <w:rFonts w:ascii="宋体" w:hAnsi="宋体" w:cs="宋体"/>
                <w:sz w:val="24"/>
              </w:rPr>
            </w:pPr>
          </w:p>
          <w:p w14:paraId="5982EC6A">
            <w:pPr>
              <w:adjustRightInd w:val="0"/>
              <w:snapToGrid w:val="0"/>
              <w:rPr>
                <w:rFonts w:ascii="宋体" w:hAnsi="宋体" w:cs="宋体"/>
                <w:sz w:val="24"/>
              </w:rPr>
            </w:pPr>
          </w:p>
          <w:p w14:paraId="3726FD42">
            <w:pPr>
              <w:adjustRightInd w:val="0"/>
              <w:snapToGrid w:val="0"/>
              <w:rPr>
                <w:rFonts w:ascii="宋体" w:hAnsi="宋体" w:cs="宋体"/>
                <w:sz w:val="24"/>
              </w:rPr>
            </w:pPr>
          </w:p>
          <w:p w14:paraId="6413060D">
            <w:pPr>
              <w:adjustRightInd w:val="0"/>
              <w:snapToGrid w:val="0"/>
              <w:rPr>
                <w:rFonts w:ascii="宋体" w:hAnsi="宋体" w:cs="宋体"/>
                <w:sz w:val="24"/>
              </w:rPr>
            </w:pPr>
          </w:p>
          <w:p w14:paraId="336B694D">
            <w:pPr>
              <w:adjustRightInd w:val="0"/>
              <w:snapToGrid w:val="0"/>
              <w:rPr>
                <w:rFonts w:ascii="宋体" w:hAnsi="宋体" w:cs="宋体"/>
                <w:sz w:val="24"/>
              </w:rPr>
            </w:pPr>
          </w:p>
          <w:p w14:paraId="33744F96">
            <w:pPr>
              <w:adjustRightInd w:val="0"/>
              <w:snapToGrid w:val="0"/>
              <w:rPr>
                <w:rFonts w:ascii="宋体" w:hAnsi="宋体" w:cs="宋体"/>
                <w:sz w:val="24"/>
              </w:rPr>
            </w:pPr>
          </w:p>
          <w:p w14:paraId="07CB0B80">
            <w:pPr>
              <w:adjustRightInd w:val="0"/>
              <w:snapToGrid w:val="0"/>
              <w:rPr>
                <w:rFonts w:ascii="宋体" w:hAnsi="宋体" w:cs="宋体"/>
                <w:sz w:val="24"/>
              </w:rPr>
            </w:pPr>
          </w:p>
          <w:p w14:paraId="34071A93">
            <w:pPr>
              <w:adjustRightInd w:val="0"/>
              <w:snapToGrid w:val="0"/>
              <w:rPr>
                <w:rFonts w:ascii="宋体" w:hAnsi="宋体" w:cs="宋体"/>
                <w:sz w:val="24"/>
              </w:rPr>
            </w:pPr>
          </w:p>
          <w:p w14:paraId="15CC8069">
            <w:pPr>
              <w:adjustRightInd w:val="0"/>
              <w:snapToGrid w:val="0"/>
              <w:rPr>
                <w:rFonts w:ascii="宋体" w:hAnsi="宋体" w:cs="宋体"/>
                <w:sz w:val="24"/>
              </w:rPr>
            </w:pPr>
          </w:p>
          <w:p w14:paraId="08BE86A0">
            <w:pPr>
              <w:adjustRightInd w:val="0"/>
              <w:snapToGrid w:val="0"/>
              <w:rPr>
                <w:rFonts w:ascii="宋体" w:hAnsi="宋体" w:cs="宋体"/>
                <w:sz w:val="24"/>
              </w:rPr>
            </w:pPr>
          </w:p>
          <w:p w14:paraId="27788EEB">
            <w:pPr>
              <w:adjustRightInd w:val="0"/>
              <w:snapToGrid w:val="0"/>
              <w:rPr>
                <w:rFonts w:ascii="宋体" w:hAnsi="宋体" w:cs="宋体"/>
                <w:sz w:val="24"/>
              </w:rPr>
            </w:pPr>
          </w:p>
          <w:p w14:paraId="3532D677">
            <w:pPr>
              <w:adjustRightInd w:val="0"/>
              <w:snapToGrid w:val="0"/>
              <w:rPr>
                <w:rFonts w:ascii="宋体" w:hAnsi="宋体" w:cs="宋体"/>
                <w:sz w:val="24"/>
              </w:rPr>
            </w:pPr>
          </w:p>
          <w:p w14:paraId="11AAA397">
            <w:pPr>
              <w:adjustRightInd w:val="0"/>
              <w:snapToGrid w:val="0"/>
              <w:rPr>
                <w:rFonts w:ascii="宋体" w:hAnsi="宋体" w:cs="宋体"/>
                <w:sz w:val="24"/>
              </w:rPr>
            </w:pPr>
          </w:p>
          <w:p w14:paraId="380DCB32">
            <w:pPr>
              <w:adjustRightInd w:val="0"/>
              <w:snapToGrid w:val="0"/>
              <w:rPr>
                <w:rFonts w:ascii="宋体" w:hAnsi="宋体" w:cs="宋体"/>
                <w:sz w:val="24"/>
              </w:rPr>
            </w:pPr>
          </w:p>
          <w:p w14:paraId="21D0B106">
            <w:pPr>
              <w:adjustRightInd w:val="0"/>
              <w:snapToGrid w:val="0"/>
              <w:rPr>
                <w:rFonts w:ascii="宋体" w:hAnsi="宋体" w:cs="宋体"/>
                <w:sz w:val="24"/>
              </w:rPr>
            </w:pPr>
          </w:p>
          <w:p w14:paraId="3A8C5B88">
            <w:pPr>
              <w:adjustRightInd w:val="0"/>
              <w:snapToGrid w:val="0"/>
              <w:rPr>
                <w:rFonts w:ascii="宋体" w:hAnsi="宋体" w:cs="宋体"/>
                <w:b/>
                <w:bCs/>
                <w:sz w:val="24"/>
              </w:rPr>
            </w:pPr>
            <w:r>
              <w:rPr>
                <w:rFonts w:hint="eastAsia" w:ascii="宋体" w:hAnsi="宋体" w:cs="宋体"/>
                <w:sz w:val="24"/>
              </w:rPr>
              <w:t>1台</w:t>
            </w:r>
          </w:p>
        </w:tc>
      </w:tr>
      <w:tr w14:paraId="4370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7B561135">
            <w:pPr>
              <w:adjustRightInd w:val="0"/>
              <w:snapToGrid w:val="0"/>
              <w:jc w:val="center"/>
              <w:rPr>
                <w:rFonts w:ascii="宋体" w:hAnsi="宋体" w:cs="宋体"/>
                <w:sz w:val="24"/>
              </w:rPr>
            </w:pPr>
            <w:r>
              <w:rPr>
                <w:rFonts w:hint="eastAsia" w:ascii="宋体" w:hAnsi="宋体" w:cs="宋体"/>
                <w:sz w:val="24"/>
              </w:rPr>
              <w:t>9</w:t>
            </w:r>
          </w:p>
        </w:tc>
        <w:tc>
          <w:tcPr>
            <w:tcW w:w="1111" w:type="dxa"/>
            <w:shd w:val="clear" w:color="auto" w:fill="FFFFFF"/>
            <w:vAlign w:val="center"/>
          </w:tcPr>
          <w:p w14:paraId="3AAF87D4">
            <w:pPr>
              <w:adjustRightInd w:val="0"/>
              <w:snapToGrid w:val="0"/>
              <w:jc w:val="center"/>
              <w:rPr>
                <w:rFonts w:ascii="宋体" w:hAnsi="宋体" w:cs="宋体"/>
                <w:sz w:val="24"/>
              </w:rPr>
            </w:pPr>
            <w:r>
              <w:rPr>
                <w:rFonts w:hint="eastAsia" w:ascii="宋体" w:hAnsi="宋体" w:cs="宋体"/>
                <w:sz w:val="24"/>
              </w:rPr>
              <w:t>Web应用防火墙</w:t>
            </w:r>
          </w:p>
        </w:tc>
        <w:tc>
          <w:tcPr>
            <w:tcW w:w="5762" w:type="dxa"/>
            <w:shd w:val="clear" w:color="auto" w:fill="FFFFFF"/>
            <w:vAlign w:val="center"/>
          </w:tcPr>
          <w:p w14:paraId="615A861A">
            <w:pPr>
              <w:adjustRightInd w:val="0"/>
              <w:snapToGrid w:val="0"/>
              <w:rPr>
                <w:rFonts w:ascii="宋体" w:hAnsi="宋体" w:cs="宋体"/>
                <w:sz w:val="24"/>
              </w:rPr>
            </w:pPr>
            <w:r>
              <w:rPr>
                <w:rFonts w:hint="eastAsia" w:ascii="宋体" w:hAnsi="宋体" w:cs="宋体"/>
                <w:sz w:val="24"/>
              </w:rPr>
              <w:t>1、产品为标准机架式结构，网络层吞吐量≥40G，应用层吞吐量（WAF）≥1.5G，并发连接数≥950万，HTTP新建连接数≥19万。配置不少于16千兆电口+6万兆光口SFP+，提供三年硬件质保、软件升级。</w:t>
            </w:r>
          </w:p>
          <w:p w14:paraId="6FC65F38">
            <w:pPr>
              <w:adjustRightInd w:val="0"/>
              <w:snapToGrid w:val="0"/>
              <w:rPr>
                <w:rFonts w:ascii="宋体" w:hAnsi="宋体" w:cs="宋体"/>
                <w:sz w:val="24"/>
              </w:rPr>
            </w:pPr>
            <w:r>
              <w:rPr>
                <w:rFonts w:hint="eastAsia" w:ascii="宋体" w:hAnsi="宋体" w:cs="宋体"/>
                <w:sz w:val="24"/>
              </w:rPr>
              <w:t>2、提供≥3年防护规则库，规则库包括WEB应用防护识别库、IPS特征库、僵尸网络防护库、实时漏洞分析识别库和URL&amp;应用识别库定期更新，保持设备具备检测防御最新威胁的能力。</w:t>
            </w:r>
          </w:p>
          <w:p w14:paraId="49057485">
            <w:pPr>
              <w:adjustRightInd w:val="0"/>
              <w:snapToGrid w:val="0"/>
              <w:rPr>
                <w:rFonts w:ascii="宋体" w:hAnsi="宋体" w:cs="宋体"/>
                <w:sz w:val="24"/>
              </w:rPr>
            </w:pPr>
            <w:r>
              <w:rPr>
                <w:rFonts w:hint="eastAsia" w:ascii="宋体" w:hAnsi="宋体" w:cs="宋体"/>
                <w:sz w:val="24"/>
              </w:rPr>
              <w:t>3、产品提供Web应用防御模块，支持服务器漏洞防扫描功能，并对扫描源IP进行日志记录和联动封锁；支持Cookie攻击防护功能，并通过日志记录Cookie被篡改。（需提供产品功能截图证明和具备CMA/CNAS标识的第三方检测报告证明）。</w:t>
            </w:r>
          </w:p>
          <w:p w14:paraId="065D74D5">
            <w:pPr>
              <w:adjustRightInd w:val="0"/>
              <w:snapToGrid w:val="0"/>
              <w:rPr>
                <w:rFonts w:ascii="宋体" w:hAnsi="宋体" w:cs="宋体"/>
                <w:sz w:val="24"/>
              </w:rPr>
            </w:pPr>
            <w:r>
              <w:rPr>
                <w:rFonts w:hint="eastAsia" w:ascii="宋体" w:hAnsi="宋体" w:cs="宋体"/>
                <w:sz w:val="24"/>
              </w:rPr>
              <w:t>4、产品内置不低于16000种漏洞规则，同时支持在控制台界面通过漏洞ID、漏洞名称、危险等级、漏洞CVE标识、漏洞描述等条件查询漏洞特征信息，支持用户自定义IPS规则。（需提供产品功能截图证明）</w:t>
            </w:r>
          </w:p>
          <w:p w14:paraId="1BDBE456">
            <w:pPr>
              <w:adjustRightInd w:val="0"/>
              <w:snapToGrid w:val="0"/>
              <w:rPr>
                <w:rFonts w:ascii="宋体" w:hAnsi="宋体" w:cs="宋体"/>
                <w:sz w:val="24"/>
              </w:rPr>
            </w:pPr>
            <w:r>
              <w:rPr>
                <w:rFonts w:hint="eastAsia" w:ascii="宋体" w:hAnsi="宋体" w:cs="宋体"/>
                <w:sz w:val="24"/>
              </w:rPr>
              <w:t>5、产品支持僵尸主机检测功能，产品内置僵尸网络特征库超过120万种，可识别主机的异常外联行为。（需提供产品功能截图证明）</w:t>
            </w:r>
          </w:p>
          <w:p w14:paraId="2B144292">
            <w:pPr>
              <w:adjustRightInd w:val="0"/>
              <w:snapToGrid w:val="0"/>
              <w:rPr>
                <w:rFonts w:ascii="宋体" w:hAnsi="宋体" w:cs="宋体"/>
                <w:sz w:val="24"/>
              </w:rPr>
            </w:pPr>
            <w:r>
              <w:rPr>
                <w:rFonts w:hint="eastAsia" w:ascii="宋体" w:hAnsi="宋体" w:cs="宋体"/>
                <w:sz w:val="24"/>
              </w:rPr>
              <w:t>6、产品内置超过4500种WEB应用攻击特征，支持对跨站脚本（XSS）攻击、SQL注入、文件包含攻击、信息泄露攻击、WEBSHELL、网站扫描、网页木马等攻击类型进行防护。（需提供产品功能截图证明和具备CMA/CNAS标识的第三方检测报告）</w:t>
            </w:r>
          </w:p>
          <w:p w14:paraId="7F2B207D">
            <w:pPr>
              <w:adjustRightInd w:val="0"/>
              <w:snapToGrid w:val="0"/>
              <w:rPr>
                <w:rFonts w:ascii="宋体" w:hAnsi="宋体" w:cs="宋体"/>
                <w:sz w:val="24"/>
              </w:rPr>
            </w:pPr>
            <w:r>
              <w:rPr>
                <w:rFonts w:hint="eastAsia" w:ascii="宋体" w:hAnsi="宋体" w:cs="宋体"/>
                <w:sz w:val="24"/>
              </w:rPr>
              <w:t>7、当主机故障时，双机切换时不丢包，并可实现双机部署下升级不断网。（需提供产品功能截图证明并提供具备CMA/CNAS标识的第三方检测报告）</w:t>
            </w:r>
          </w:p>
          <w:p w14:paraId="3FBC0241">
            <w:pPr>
              <w:adjustRightInd w:val="0"/>
              <w:snapToGrid w:val="0"/>
              <w:rPr>
                <w:rFonts w:ascii="宋体" w:hAnsi="宋体" w:cs="宋体"/>
                <w:sz w:val="24"/>
              </w:rPr>
            </w:pPr>
            <w:r>
              <w:rPr>
                <w:rFonts w:hint="eastAsia" w:ascii="宋体" w:hAnsi="宋体" w:cs="宋体"/>
                <w:sz w:val="24"/>
              </w:rPr>
              <w:t>8、产品支持用户账号安全保护功能，包括用户账号多余入口检测、用户账号弱口令检测、用户账号暴力破解检测、失陷账号检测，防止因账号被暴力破解导致的非法提权情况发生。（需提供产品功能截图）</w:t>
            </w:r>
          </w:p>
          <w:p w14:paraId="1F0343AD">
            <w:pPr>
              <w:adjustRightInd w:val="0"/>
              <w:snapToGrid w:val="0"/>
              <w:rPr>
                <w:rFonts w:ascii="宋体" w:hAnsi="宋体" w:cs="宋体"/>
                <w:sz w:val="24"/>
              </w:rPr>
            </w:pPr>
            <w:r>
              <w:rPr>
                <w:rFonts w:hint="eastAsia" w:ascii="宋体" w:hAnsi="宋体" w:cs="宋体"/>
                <w:sz w:val="24"/>
              </w:rPr>
              <w:t>9、产品支持异常数据包攻击防御，防护类型包括IP数据块分片传输防护、Teardrop攻击防护、Smurf攻击防护、Land攻击防护、WinNuke攻击防护等攻击类型。</w:t>
            </w:r>
          </w:p>
          <w:p w14:paraId="30D7AB9D">
            <w:pPr>
              <w:adjustRightInd w:val="0"/>
              <w:snapToGrid w:val="0"/>
              <w:rPr>
                <w:rFonts w:ascii="宋体" w:hAnsi="宋体" w:cs="宋体"/>
                <w:sz w:val="24"/>
              </w:rPr>
            </w:pPr>
            <w:r>
              <w:rPr>
                <w:rFonts w:hint="eastAsia" w:ascii="宋体" w:hAnsi="宋体" w:cs="宋体"/>
                <w:sz w:val="24"/>
              </w:rPr>
              <w:t>10、产品支持策略生命周期管理功能，支持对安全策略修改的时间、原因、变更类型进行统一管理，便于策略的运维与管理。</w:t>
            </w:r>
          </w:p>
          <w:p w14:paraId="4F1AAD9B">
            <w:pPr>
              <w:adjustRightInd w:val="0"/>
              <w:snapToGrid w:val="0"/>
              <w:rPr>
                <w:rFonts w:ascii="宋体" w:hAnsi="宋体" w:cs="宋体"/>
                <w:sz w:val="24"/>
              </w:rPr>
            </w:pPr>
            <w:r>
              <w:rPr>
                <w:rFonts w:hint="eastAsia" w:ascii="宋体" w:hAnsi="宋体" w:cs="宋体"/>
                <w:sz w:val="24"/>
              </w:rPr>
              <w:t>11、产品支持对压缩病毒文件进行检测和拦截，压缩层数支持15层及以上。（需提供产品功能截图证明）</w:t>
            </w:r>
          </w:p>
          <w:p w14:paraId="7C08CAF5">
            <w:pPr>
              <w:adjustRightInd w:val="0"/>
              <w:snapToGrid w:val="0"/>
              <w:rPr>
                <w:rFonts w:ascii="宋体" w:hAnsi="宋体" w:cs="宋体"/>
                <w:sz w:val="24"/>
              </w:rPr>
            </w:pPr>
            <w:r>
              <w:rPr>
                <w:rFonts w:hint="eastAsia" w:ascii="宋体" w:hAnsi="宋体" w:cs="宋体"/>
                <w:sz w:val="24"/>
              </w:rPr>
              <w:t>12、为保障产品软件能力成熟度，要求所投产品的生产厂商具备中国网络安全审查技术与认证中心的信息安全软件开发服务资质，软件安全开发一级。提供有效证书复印件。</w:t>
            </w:r>
          </w:p>
          <w:p w14:paraId="1FDE27BE">
            <w:pPr>
              <w:adjustRightInd w:val="0"/>
              <w:snapToGrid w:val="0"/>
              <w:rPr>
                <w:rFonts w:ascii="宋体" w:hAnsi="宋体" w:cs="宋体"/>
                <w:sz w:val="24"/>
              </w:rPr>
            </w:pPr>
            <w:r>
              <w:rPr>
                <w:rFonts w:hint="eastAsia" w:ascii="宋体" w:hAnsi="宋体" w:cs="宋体"/>
                <w:sz w:val="24"/>
              </w:rPr>
              <w:t>13、支持接入我院本部现有的态势感知平台。并针对安全事件支持联动封锁、访问控制，安全事件支持与终端安全响应系统联动一键查杀。（提供功能对接承诺书并加盖厂商公章。</w:t>
            </w:r>
          </w:p>
        </w:tc>
        <w:tc>
          <w:tcPr>
            <w:tcW w:w="788" w:type="dxa"/>
            <w:shd w:val="clear" w:color="auto" w:fill="FFFFFF"/>
          </w:tcPr>
          <w:p w14:paraId="5ACB709A">
            <w:pPr>
              <w:adjustRightInd w:val="0"/>
              <w:snapToGrid w:val="0"/>
              <w:jc w:val="center"/>
              <w:rPr>
                <w:rFonts w:ascii="宋体" w:hAnsi="宋体" w:cs="宋体"/>
                <w:sz w:val="24"/>
              </w:rPr>
            </w:pPr>
          </w:p>
          <w:p w14:paraId="797FA971">
            <w:pPr>
              <w:adjustRightInd w:val="0"/>
              <w:snapToGrid w:val="0"/>
              <w:jc w:val="center"/>
              <w:rPr>
                <w:rFonts w:ascii="宋体" w:hAnsi="宋体" w:cs="宋体"/>
                <w:sz w:val="24"/>
              </w:rPr>
            </w:pPr>
          </w:p>
          <w:p w14:paraId="3C7186CB">
            <w:pPr>
              <w:adjustRightInd w:val="0"/>
              <w:snapToGrid w:val="0"/>
              <w:jc w:val="center"/>
              <w:rPr>
                <w:rFonts w:ascii="宋体" w:hAnsi="宋体" w:cs="宋体"/>
                <w:sz w:val="24"/>
              </w:rPr>
            </w:pPr>
          </w:p>
          <w:p w14:paraId="799EE7E3">
            <w:pPr>
              <w:adjustRightInd w:val="0"/>
              <w:snapToGrid w:val="0"/>
              <w:jc w:val="center"/>
              <w:rPr>
                <w:rFonts w:ascii="宋体" w:hAnsi="宋体" w:cs="宋体"/>
                <w:sz w:val="24"/>
              </w:rPr>
            </w:pPr>
          </w:p>
          <w:p w14:paraId="48537989">
            <w:pPr>
              <w:adjustRightInd w:val="0"/>
              <w:snapToGrid w:val="0"/>
              <w:jc w:val="center"/>
              <w:rPr>
                <w:rFonts w:ascii="宋体" w:hAnsi="宋体" w:cs="宋体"/>
                <w:sz w:val="24"/>
              </w:rPr>
            </w:pPr>
          </w:p>
          <w:p w14:paraId="27DCB125">
            <w:pPr>
              <w:adjustRightInd w:val="0"/>
              <w:snapToGrid w:val="0"/>
              <w:jc w:val="center"/>
              <w:rPr>
                <w:rFonts w:ascii="宋体" w:hAnsi="宋体" w:cs="宋体"/>
                <w:sz w:val="24"/>
              </w:rPr>
            </w:pPr>
          </w:p>
          <w:p w14:paraId="360D4C6B">
            <w:pPr>
              <w:adjustRightInd w:val="0"/>
              <w:snapToGrid w:val="0"/>
              <w:jc w:val="center"/>
              <w:rPr>
                <w:rFonts w:ascii="宋体" w:hAnsi="宋体" w:cs="宋体"/>
                <w:sz w:val="24"/>
              </w:rPr>
            </w:pPr>
          </w:p>
          <w:p w14:paraId="263B00BD">
            <w:pPr>
              <w:adjustRightInd w:val="0"/>
              <w:snapToGrid w:val="0"/>
              <w:jc w:val="center"/>
              <w:rPr>
                <w:rFonts w:ascii="宋体" w:hAnsi="宋体" w:cs="宋体"/>
                <w:sz w:val="24"/>
              </w:rPr>
            </w:pPr>
          </w:p>
          <w:p w14:paraId="694B1565">
            <w:pPr>
              <w:adjustRightInd w:val="0"/>
              <w:snapToGrid w:val="0"/>
              <w:jc w:val="center"/>
              <w:rPr>
                <w:rFonts w:ascii="宋体" w:hAnsi="宋体" w:cs="宋体"/>
                <w:sz w:val="24"/>
              </w:rPr>
            </w:pPr>
          </w:p>
          <w:p w14:paraId="00A6C020">
            <w:pPr>
              <w:adjustRightInd w:val="0"/>
              <w:snapToGrid w:val="0"/>
              <w:jc w:val="center"/>
              <w:rPr>
                <w:rFonts w:ascii="宋体" w:hAnsi="宋体" w:cs="宋体"/>
                <w:sz w:val="24"/>
              </w:rPr>
            </w:pPr>
          </w:p>
          <w:p w14:paraId="21EE85DE">
            <w:pPr>
              <w:adjustRightInd w:val="0"/>
              <w:snapToGrid w:val="0"/>
              <w:jc w:val="center"/>
              <w:rPr>
                <w:rFonts w:ascii="宋体" w:hAnsi="宋体" w:cs="宋体"/>
                <w:sz w:val="24"/>
              </w:rPr>
            </w:pPr>
          </w:p>
          <w:p w14:paraId="14364658">
            <w:pPr>
              <w:adjustRightInd w:val="0"/>
              <w:snapToGrid w:val="0"/>
              <w:jc w:val="center"/>
              <w:rPr>
                <w:rFonts w:ascii="宋体" w:hAnsi="宋体" w:cs="宋体"/>
                <w:sz w:val="24"/>
              </w:rPr>
            </w:pPr>
          </w:p>
          <w:p w14:paraId="4320D235">
            <w:pPr>
              <w:adjustRightInd w:val="0"/>
              <w:snapToGrid w:val="0"/>
              <w:jc w:val="center"/>
              <w:rPr>
                <w:rFonts w:ascii="宋体" w:hAnsi="宋体" w:cs="宋体"/>
                <w:sz w:val="24"/>
              </w:rPr>
            </w:pPr>
          </w:p>
          <w:p w14:paraId="208CA5EF">
            <w:pPr>
              <w:adjustRightInd w:val="0"/>
              <w:snapToGrid w:val="0"/>
              <w:jc w:val="center"/>
              <w:rPr>
                <w:rFonts w:ascii="宋体" w:hAnsi="宋体" w:cs="宋体"/>
                <w:sz w:val="24"/>
              </w:rPr>
            </w:pPr>
          </w:p>
          <w:p w14:paraId="4AD3B50E">
            <w:pPr>
              <w:adjustRightInd w:val="0"/>
              <w:snapToGrid w:val="0"/>
              <w:jc w:val="center"/>
              <w:rPr>
                <w:rFonts w:ascii="宋体" w:hAnsi="宋体" w:cs="宋体"/>
                <w:sz w:val="24"/>
              </w:rPr>
            </w:pPr>
          </w:p>
          <w:p w14:paraId="46CDED08">
            <w:pPr>
              <w:adjustRightInd w:val="0"/>
              <w:snapToGrid w:val="0"/>
              <w:jc w:val="center"/>
              <w:rPr>
                <w:rFonts w:ascii="宋体" w:hAnsi="宋体" w:cs="宋体"/>
                <w:sz w:val="24"/>
              </w:rPr>
            </w:pPr>
          </w:p>
          <w:p w14:paraId="319D63D3">
            <w:pPr>
              <w:adjustRightInd w:val="0"/>
              <w:snapToGrid w:val="0"/>
              <w:jc w:val="center"/>
              <w:rPr>
                <w:rFonts w:ascii="宋体" w:hAnsi="宋体" w:cs="宋体"/>
                <w:sz w:val="24"/>
              </w:rPr>
            </w:pPr>
          </w:p>
          <w:p w14:paraId="10AFC6DA">
            <w:pPr>
              <w:adjustRightInd w:val="0"/>
              <w:snapToGrid w:val="0"/>
              <w:jc w:val="center"/>
              <w:rPr>
                <w:rFonts w:ascii="宋体" w:hAnsi="宋体" w:cs="宋体"/>
                <w:sz w:val="24"/>
              </w:rPr>
            </w:pPr>
          </w:p>
          <w:p w14:paraId="09649E2C">
            <w:pPr>
              <w:adjustRightInd w:val="0"/>
              <w:snapToGrid w:val="0"/>
              <w:jc w:val="center"/>
              <w:rPr>
                <w:rFonts w:ascii="宋体" w:hAnsi="宋体" w:cs="宋体"/>
                <w:b/>
                <w:bCs/>
                <w:sz w:val="24"/>
              </w:rPr>
            </w:pPr>
            <w:r>
              <w:rPr>
                <w:rFonts w:hint="eastAsia" w:ascii="宋体" w:hAnsi="宋体" w:cs="宋体"/>
                <w:sz w:val="24"/>
              </w:rPr>
              <w:t>1台</w:t>
            </w:r>
          </w:p>
        </w:tc>
      </w:tr>
      <w:tr w14:paraId="1EBE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1842C8FD">
            <w:pPr>
              <w:adjustRightInd w:val="0"/>
              <w:snapToGrid w:val="0"/>
              <w:jc w:val="center"/>
              <w:rPr>
                <w:rFonts w:ascii="宋体" w:hAnsi="宋体" w:cs="宋体"/>
                <w:sz w:val="24"/>
              </w:rPr>
            </w:pPr>
            <w:r>
              <w:rPr>
                <w:rFonts w:hint="eastAsia" w:ascii="宋体" w:hAnsi="宋体" w:cs="宋体"/>
                <w:sz w:val="24"/>
              </w:rPr>
              <w:t>10</w:t>
            </w:r>
          </w:p>
        </w:tc>
        <w:tc>
          <w:tcPr>
            <w:tcW w:w="1111" w:type="dxa"/>
            <w:shd w:val="clear" w:color="auto" w:fill="FFFFFF"/>
            <w:vAlign w:val="center"/>
          </w:tcPr>
          <w:p w14:paraId="4288116B">
            <w:pPr>
              <w:adjustRightInd w:val="0"/>
              <w:snapToGrid w:val="0"/>
              <w:jc w:val="center"/>
              <w:rPr>
                <w:rFonts w:ascii="宋体" w:hAnsi="宋体" w:cs="宋体"/>
                <w:sz w:val="24"/>
              </w:rPr>
            </w:pPr>
            <w:r>
              <w:rPr>
                <w:rFonts w:hint="eastAsia" w:ascii="宋体" w:hAnsi="宋体" w:cs="宋体"/>
                <w:sz w:val="24"/>
              </w:rPr>
              <w:t>负载均衡</w:t>
            </w:r>
          </w:p>
        </w:tc>
        <w:tc>
          <w:tcPr>
            <w:tcW w:w="5762" w:type="dxa"/>
            <w:shd w:val="clear" w:color="auto" w:fill="FFFFFF"/>
            <w:vAlign w:val="center"/>
          </w:tcPr>
          <w:p w14:paraId="3E5F4DF3">
            <w:pPr>
              <w:adjustRightInd w:val="0"/>
              <w:snapToGrid w:val="0"/>
              <w:rPr>
                <w:rFonts w:ascii="宋体" w:hAnsi="宋体" w:cs="宋体"/>
                <w:sz w:val="24"/>
              </w:rPr>
            </w:pPr>
            <w:r>
              <w:rPr>
                <w:rFonts w:hint="eastAsia" w:ascii="宋体" w:hAnsi="宋体" w:cs="宋体"/>
                <w:sz w:val="24"/>
              </w:rPr>
              <w:t>1、标准机架式设备，4层吞吐量≥3G，四层并发连接数≥8000000，4层新建连接数 CPS≥100000，7层新建请求数 RPS≥150000，接口配置不少于6千兆电口+2千兆光口SFP。提供3年硬件质保及软件升级服务。</w:t>
            </w:r>
          </w:p>
          <w:p w14:paraId="0A9B483C">
            <w:pPr>
              <w:adjustRightInd w:val="0"/>
              <w:snapToGrid w:val="0"/>
              <w:rPr>
                <w:rFonts w:ascii="宋体" w:hAnsi="宋体" w:cs="宋体"/>
                <w:sz w:val="24"/>
              </w:rPr>
            </w:pPr>
            <w:r>
              <w:rPr>
                <w:rFonts w:hint="eastAsia" w:ascii="宋体" w:hAnsi="宋体" w:cs="宋体"/>
                <w:sz w:val="24"/>
              </w:rPr>
              <w:t>2、支持通过Web页面进行智能DNS解析规则测试；（提供设备操作界面截图证明材料）</w:t>
            </w:r>
          </w:p>
          <w:p w14:paraId="340106AA">
            <w:pPr>
              <w:adjustRightInd w:val="0"/>
              <w:snapToGrid w:val="0"/>
              <w:rPr>
                <w:rFonts w:ascii="宋体" w:hAnsi="宋体" w:cs="宋体"/>
                <w:sz w:val="24"/>
              </w:rPr>
            </w:pPr>
            <w:r>
              <w:rPr>
                <w:rFonts w:hint="eastAsia" w:ascii="宋体" w:hAnsi="宋体" w:cs="宋体"/>
                <w:sz w:val="24"/>
              </w:rPr>
              <w:t>3、内置完备的IP地址库，无需手动导入并支持自动全网更新，可查看并编辑国内各省份的IP地址段、国内各大运营商IP地址段和国外各个国家IP地址段，并可灵活匹配IP地址库进行流量调度分发，实现链路负载功能。</w:t>
            </w:r>
          </w:p>
          <w:p w14:paraId="7551AE66">
            <w:pPr>
              <w:adjustRightInd w:val="0"/>
              <w:snapToGrid w:val="0"/>
              <w:rPr>
                <w:rFonts w:ascii="宋体" w:hAnsi="宋体" w:cs="宋体"/>
                <w:sz w:val="24"/>
              </w:rPr>
            </w:pPr>
            <w:r>
              <w:rPr>
                <w:rFonts w:hint="eastAsia" w:ascii="宋体" w:hAnsi="宋体" w:cs="宋体"/>
                <w:sz w:val="24"/>
              </w:rPr>
              <w:t>4、支持基于URL的链路调度功能，内置不少于10万条的国外URL网址库，无需手动导入并支持自动更新，管理员可查看。可根据URL将访问国外网站的请求调度到指定线路。</w:t>
            </w:r>
          </w:p>
          <w:p w14:paraId="59320126">
            <w:pPr>
              <w:adjustRightInd w:val="0"/>
              <w:snapToGrid w:val="0"/>
              <w:rPr>
                <w:rFonts w:ascii="宋体" w:hAnsi="宋体" w:cs="宋体"/>
                <w:sz w:val="24"/>
              </w:rPr>
            </w:pPr>
            <w:r>
              <w:rPr>
                <w:rFonts w:hint="eastAsia" w:ascii="宋体" w:hAnsi="宋体" w:cs="宋体"/>
                <w:sz w:val="24"/>
              </w:rPr>
              <w:t>5、支持基于应用协议的智能选路，内置网上银行、Web流媒体、游戏、音频视频规则库，并且规则库不少于5000条；（需提供设备操作界面截图证明材料）</w:t>
            </w:r>
          </w:p>
          <w:p w14:paraId="0BBE2625">
            <w:pPr>
              <w:adjustRightInd w:val="0"/>
              <w:snapToGrid w:val="0"/>
              <w:rPr>
                <w:rFonts w:ascii="宋体" w:hAnsi="宋体" w:cs="宋体"/>
                <w:sz w:val="24"/>
              </w:rPr>
            </w:pPr>
            <w:r>
              <w:rPr>
                <w:rFonts w:hint="eastAsia" w:ascii="宋体" w:hAnsi="宋体" w:cs="宋体"/>
                <w:sz w:val="24"/>
              </w:rPr>
              <w:t>6、支持链路负载投屏展示，能够分别基于链路监测、应用选路和ISP流量进行投屏展示分析。链路监测展示链路的健康状态、上下行带宽、总带宽、新建连接数、并发连接数和吞吐量；应用选路展示基于应用分类选择相应链路的示意图；ISP展示基于运营商分类选择链路的示意图。</w:t>
            </w:r>
          </w:p>
          <w:p w14:paraId="346C9283">
            <w:pPr>
              <w:adjustRightInd w:val="0"/>
              <w:snapToGrid w:val="0"/>
              <w:rPr>
                <w:rFonts w:ascii="宋体" w:hAnsi="宋体" w:cs="宋体"/>
                <w:sz w:val="24"/>
              </w:rPr>
            </w:pPr>
            <w:r>
              <w:rPr>
                <w:rFonts w:hint="eastAsia" w:ascii="宋体" w:hAnsi="宋体" w:cs="宋体"/>
                <w:sz w:val="24"/>
              </w:rPr>
              <w:t>7、支持轮询、加权轮询、按主机加权轮询、加权最小连接、按主机加权最小连接、动态反馈、最快响应时间、加权最小流量、按主机加权最小流量、源IP源端口哈希、源IP哈希、URI哈希和HOST哈希等。</w:t>
            </w:r>
          </w:p>
          <w:p w14:paraId="7B125A51">
            <w:pPr>
              <w:adjustRightInd w:val="0"/>
              <w:snapToGrid w:val="0"/>
              <w:rPr>
                <w:rFonts w:ascii="宋体" w:hAnsi="宋体" w:cs="宋体"/>
                <w:sz w:val="24"/>
              </w:rPr>
            </w:pPr>
            <w:r>
              <w:rPr>
                <w:rFonts w:hint="eastAsia" w:ascii="宋体" w:hAnsi="宋体" w:cs="宋体"/>
                <w:sz w:val="24"/>
              </w:rPr>
              <w:t>8、支持DNS RPZ防火墙功能，支持定义RPZ规则来阻止访问受感染的站点，保护用户的网络环境，提高网络安全性，支持NXDOMAIN、NODATA、DROP和CNAME四种动作；（提供设备操作界面截图证明材料）</w:t>
            </w:r>
          </w:p>
          <w:p w14:paraId="503B0D71">
            <w:pPr>
              <w:adjustRightInd w:val="0"/>
              <w:snapToGrid w:val="0"/>
              <w:rPr>
                <w:rFonts w:ascii="宋体" w:hAnsi="宋体" w:cs="宋体"/>
                <w:sz w:val="24"/>
              </w:rPr>
            </w:pPr>
            <w:r>
              <w:rPr>
                <w:rFonts w:hint="eastAsia" w:ascii="宋体" w:hAnsi="宋体" w:cs="宋体"/>
                <w:sz w:val="24"/>
              </w:rPr>
              <w:t>9、支持通过Web界面进行流量编排配置，能在一个虚拟服务下完成多组安全设备的流量编排，并且可通过Web页面完成安全资源池和安全服务链的配置。</w:t>
            </w:r>
          </w:p>
          <w:p w14:paraId="52A03337">
            <w:pPr>
              <w:adjustRightInd w:val="0"/>
              <w:snapToGrid w:val="0"/>
              <w:rPr>
                <w:rFonts w:ascii="宋体" w:hAnsi="宋体" w:cs="宋体"/>
                <w:sz w:val="24"/>
              </w:rPr>
            </w:pPr>
            <w:r>
              <w:rPr>
                <w:rFonts w:hint="eastAsia" w:ascii="宋体" w:hAnsi="宋体" w:cs="宋体"/>
                <w:sz w:val="24"/>
              </w:rPr>
              <w:t>10、解密失败的业务流量支持日志输出源IP和端口、目的IP和端口、虚拟服务名称、策略名称、加解密方向、SNI和OpenSSL错误码等内容；（提供设备操作界面截图证明材料）</w:t>
            </w:r>
          </w:p>
          <w:p w14:paraId="49A7E6D4">
            <w:pPr>
              <w:adjustRightInd w:val="0"/>
              <w:snapToGrid w:val="0"/>
              <w:rPr>
                <w:rFonts w:ascii="宋体" w:hAnsi="宋体" w:cs="宋体"/>
                <w:sz w:val="24"/>
              </w:rPr>
            </w:pPr>
            <w:r>
              <w:rPr>
                <w:rFonts w:hint="eastAsia" w:ascii="宋体" w:hAnsi="宋体" w:cs="宋体"/>
                <w:sz w:val="24"/>
              </w:rPr>
              <w:t>11、支持常见的主动式健康检查功能，提供基于SNMP、ICMP、SIP、ICMPv6、TCP、UDP、FTP、HTTP、DNS、RADIUS、HTTPS、LDAP、HTTP2、ORACLE、MSSQL、MYSQL数据库等多种类型的探测判断机制；（提供设备操作界面截图证明材料）</w:t>
            </w:r>
          </w:p>
          <w:p w14:paraId="700071BA">
            <w:pPr>
              <w:adjustRightInd w:val="0"/>
              <w:snapToGrid w:val="0"/>
              <w:rPr>
                <w:rFonts w:ascii="宋体" w:hAnsi="宋体" w:cs="宋体"/>
                <w:sz w:val="24"/>
              </w:rPr>
            </w:pPr>
            <w:r>
              <w:rPr>
                <w:rFonts w:hint="eastAsia" w:ascii="宋体" w:hAnsi="宋体" w:cs="宋体"/>
                <w:sz w:val="24"/>
              </w:rPr>
              <w:t>12、支持设备巡检功能，被检测设备无需访问互联网，实现离线巡检，并且可针对安全巡检、功能巡检以及健康巡检等多场景进行需要巡检的模块；（提供设备操作界面截图证明材料）</w:t>
            </w:r>
          </w:p>
          <w:p w14:paraId="51FAD10F">
            <w:pPr>
              <w:adjustRightInd w:val="0"/>
              <w:snapToGrid w:val="0"/>
              <w:rPr>
                <w:rFonts w:ascii="宋体" w:hAnsi="宋体" w:cs="宋体"/>
                <w:sz w:val="24"/>
              </w:rPr>
            </w:pPr>
            <w:r>
              <w:rPr>
                <w:rFonts w:hint="eastAsia" w:ascii="宋体" w:hAnsi="宋体" w:cs="宋体"/>
                <w:sz w:val="24"/>
              </w:rPr>
              <w:t>13、支持对设备的管理日志进行新旧配置对比，及时发现设备管理上的变化；（提供设备操作界面截图证明材料）</w:t>
            </w:r>
          </w:p>
          <w:p w14:paraId="3077A9B6">
            <w:pPr>
              <w:adjustRightInd w:val="0"/>
              <w:snapToGrid w:val="0"/>
              <w:rPr>
                <w:rFonts w:ascii="宋体" w:hAnsi="宋体" w:cs="宋体"/>
                <w:sz w:val="24"/>
              </w:rPr>
            </w:pPr>
            <w:r>
              <w:rPr>
                <w:rFonts w:hint="eastAsia" w:ascii="宋体" w:hAnsi="宋体" w:cs="宋体"/>
                <w:sz w:val="24"/>
              </w:rPr>
              <w:t>14、为保障企业软件能力成熟度及云安全能力的成熟度与技术程度，要求所投产品厂商需具备软件开发CMMI L5认证证书及CSA国际云安全联盟CSA CS-CMMI 5认证证书；（提供认证证书复印件或扫描件）</w:t>
            </w:r>
          </w:p>
        </w:tc>
        <w:tc>
          <w:tcPr>
            <w:tcW w:w="788" w:type="dxa"/>
            <w:shd w:val="clear" w:color="auto" w:fill="FFFFFF"/>
          </w:tcPr>
          <w:p w14:paraId="79630A87">
            <w:pPr>
              <w:adjustRightInd w:val="0"/>
              <w:snapToGrid w:val="0"/>
              <w:jc w:val="center"/>
              <w:rPr>
                <w:rFonts w:ascii="宋体" w:hAnsi="宋体" w:cs="宋体"/>
                <w:sz w:val="24"/>
              </w:rPr>
            </w:pPr>
          </w:p>
          <w:p w14:paraId="2B3B6148">
            <w:pPr>
              <w:adjustRightInd w:val="0"/>
              <w:snapToGrid w:val="0"/>
              <w:jc w:val="center"/>
              <w:rPr>
                <w:rFonts w:ascii="宋体" w:hAnsi="宋体" w:cs="宋体"/>
                <w:sz w:val="24"/>
              </w:rPr>
            </w:pPr>
          </w:p>
          <w:p w14:paraId="04CB1FC9">
            <w:pPr>
              <w:adjustRightInd w:val="0"/>
              <w:snapToGrid w:val="0"/>
              <w:jc w:val="center"/>
              <w:rPr>
                <w:rFonts w:ascii="宋体" w:hAnsi="宋体" w:cs="宋体"/>
                <w:sz w:val="24"/>
              </w:rPr>
            </w:pPr>
          </w:p>
          <w:p w14:paraId="328F090D">
            <w:pPr>
              <w:adjustRightInd w:val="0"/>
              <w:snapToGrid w:val="0"/>
              <w:jc w:val="center"/>
              <w:rPr>
                <w:rFonts w:ascii="宋体" w:hAnsi="宋体" w:cs="宋体"/>
                <w:sz w:val="24"/>
              </w:rPr>
            </w:pPr>
          </w:p>
          <w:p w14:paraId="58C0A8CA">
            <w:pPr>
              <w:adjustRightInd w:val="0"/>
              <w:snapToGrid w:val="0"/>
              <w:jc w:val="center"/>
              <w:rPr>
                <w:rFonts w:ascii="宋体" w:hAnsi="宋体" w:cs="宋体"/>
                <w:sz w:val="24"/>
              </w:rPr>
            </w:pPr>
          </w:p>
          <w:p w14:paraId="5D3C1961">
            <w:pPr>
              <w:adjustRightInd w:val="0"/>
              <w:snapToGrid w:val="0"/>
              <w:jc w:val="center"/>
              <w:rPr>
                <w:rFonts w:ascii="宋体" w:hAnsi="宋体" w:cs="宋体"/>
                <w:sz w:val="24"/>
              </w:rPr>
            </w:pPr>
          </w:p>
          <w:p w14:paraId="7F0BF9A1">
            <w:pPr>
              <w:adjustRightInd w:val="0"/>
              <w:snapToGrid w:val="0"/>
              <w:jc w:val="center"/>
              <w:rPr>
                <w:rFonts w:ascii="宋体" w:hAnsi="宋体" w:cs="宋体"/>
                <w:sz w:val="24"/>
              </w:rPr>
            </w:pPr>
          </w:p>
          <w:p w14:paraId="52DFEE0E">
            <w:pPr>
              <w:adjustRightInd w:val="0"/>
              <w:snapToGrid w:val="0"/>
              <w:jc w:val="center"/>
              <w:rPr>
                <w:rFonts w:ascii="宋体" w:hAnsi="宋体" w:cs="宋体"/>
                <w:sz w:val="24"/>
              </w:rPr>
            </w:pPr>
          </w:p>
          <w:p w14:paraId="5A6A17D8">
            <w:pPr>
              <w:adjustRightInd w:val="0"/>
              <w:snapToGrid w:val="0"/>
              <w:jc w:val="center"/>
              <w:rPr>
                <w:rFonts w:ascii="宋体" w:hAnsi="宋体" w:cs="宋体"/>
                <w:sz w:val="24"/>
              </w:rPr>
            </w:pPr>
          </w:p>
          <w:p w14:paraId="596DB54D">
            <w:pPr>
              <w:adjustRightInd w:val="0"/>
              <w:snapToGrid w:val="0"/>
              <w:jc w:val="center"/>
              <w:rPr>
                <w:rFonts w:ascii="宋体" w:hAnsi="宋体" w:cs="宋体"/>
                <w:sz w:val="24"/>
              </w:rPr>
            </w:pPr>
          </w:p>
          <w:p w14:paraId="53EAA701">
            <w:pPr>
              <w:adjustRightInd w:val="0"/>
              <w:snapToGrid w:val="0"/>
              <w:jc w:val="center"/>
              <w:rPr>
                <w:rFonts w:ascii="宋体" w:hAnsi="宋体" w:cs="宋体"/>
                <w:sz w:val="24"/>
              </w:rPr>
            </w:pPr>
          </w:p>
          <w:p w14:paraId="3CC14016">
            <w:pPr>
              <w:adjustRightInd w:val="0"/>
              <w:snapToGrid w:val="0"/>
              <w:jc w:val="center"/>
              <w:rPr>
                <w:rFonts w:ascii="宋体" w:hAnsi="宋体" w:cs="宋体"/>
                <w:sz w:val="24"/>
              </w:rPr>
            </w:pPr>
          </w:p>
          <w:p w14:paraId="7FE1655A">
            <w:pPr>
              <w:adjustRightInd w:val="0"/>
              <w:snapToGrid w:val="0"/>
              <w:jc w:val="center"/>
              <w:rPr>
                <w:rFonts w:ascii="宋体" w:hAnsi="宋体" w:cs="宋体"/>
                <w:sz w:val="24"/>
              </w:rPr>
            </w:pPr>
          </w:p>
          <w:p w14:paraId="62B6F69C">
            <w:pPr>
              <w:adjustRightInd w:val="0"/>
              <w:snapToGrid w:val="0"/>
              <w:jc w:val="center"/>
              <w:rPr>
                <w:rFonts w:ascii="宋体" w:hAnsi="宋体" w:cs="宋体"/>
                <w:sz w:val="24"/>
              </w:rPr>
            </w:pPr>
          </w:p>
          <w:p w14:paraId="2281564C">
            <w:pPr>
              <w:adjustRightInd w:val="0"/>
              <w:snapToGrid w:val="0"/>
              <w:rPr>
                <w:rFonts w:ascii="宋体" w:hAnsi="宋体" w:cs="宋体"/>
                <w:sz w:val="24"/>
              </w:rPr>
            </w:pPr>
            <w:r>
              <w:rPr>
                <w:rFonts w:hint="eastAsia" w:ascii="宋体" w:hAnsi="宋体" w:cs="宋体"/>
                <w:sz w:val="24"/>
              </w:rPr>
              <w:t>1台</w:t>
            </w:r>
          </w:p>
        </w:tc>
      </w:tr>
      <w:tr w14:paraId="08BD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65A4B40A">
            <w:pPr>
              <w:adjustRightInd w:val="0"/>
              <w:snapToGrid w:val="0"/>
              <w:jc w:val="center"/>
              <w:rPr>
                <w:rFonts w:ascii="宋体" w:hAnsi="宋体" w:cs="宋体"/>
                <w:sz w:val="24"/>
              </w:rPr>
            </w:pPr>
            <w:r>
              <w:rPr>
                <w:rFonts w:hint="eastAsia" w:ascii="宋体" w:hAnsi="宋体" w:cs="宋体"/>
                <w:sz w:val="24"/>
              </w:rPr>
              <w:t>11</w:t>
            </w:r>
          </w:p>
        </w:tc>
        <w:tc>
          <w:tcPr>
            <w:tcW w:w="1111" w:type="dxa"/>
            <w:shd w:val="clear" w:color="auto" w:fill="FFFFFF"/>
            <w:vAlign w:val="center"/>
          </w:tcPr>
          <w:p w14:paraId="01F31B5A">
            <w:pPr>
              <w:adjustRightInd w:val="0"/>
              <w:snapToGrid w:val="0"/>
              <w:rPr>
                <w:rFonts w:ascii="宋体" w:hAnsi="宋体" w:cs="宋体"/>
                <w:sz w:val="24"/>
              </w:rPr>
            </w:pPr>
            <w:r>
              <w:rPr>
                <w:rFonts w:hint="eastAsia" w:ascii="宋体" w:hAnsi="宋体" w:cs="宋体"/>
                <w:sz w:val="24"/>
              </w:rPr>
              <w:t>漏洞扫描系统</w:t>
            </w:r>
          </w:p>
        </w:tc>
        <w:tc>
          <w:tcPr>
            <w:tcW w:w="5762" w:type="dxa"/>
            <w:shd w:val="clear" w:color="auto" w:fill="FFFFFF"/>
            <w:vAlign w:val="center"/>
          </w:tcPr>
          <w:p w14:paraId="5230443A">
            <w:pPr>
              <w:numPr>
                <w:ilvl w:val="0"/>
                <w:numId w:val="1"/>
              </w:numPr>
              <w:adjustRightInd w:val="0"/>
              <w:snapToGrid w:val="0"/>
              <w:rPr>
                <w:rFonts w:ascii="宋体" w:hAnsi="宋体" w:cs="宋体"/>
                <w:sz w:val="24"/>
              </w:rPr>
            </w:pPr>
            <w:r>
              <w:rPr>
                <w:rFonts w:hint="eastAsia" w:ascii="宋体" w:hAnsi="宋体" w:cs="宋体"/>
                <w:sz w:val="24"/>
              </w:rPr>
              <w:t>授权：系统漏扫授权IP数：100，WEB漏扫授权URL数：20；性能指标：主机漏扫最大并发IP数：150，WEB漏扫最大并发URL数：5。</w:t>
            </w:r>
          </w:p>
          <w:p w14:paraId="274A8BCD">
            <w:pPr>
              <w:numPr>
                <w:ilvl w:val="0"/>
                <w:numId w:val="1"/>
              </w:numPr>
              <w:adjustRightInd w:val="0"/>
              <w:snapToGrid w:val="0"/>
              <w:rPr>
                <w:rFonts w:ascii="宋体" w:hAnsi="宋体" w:cs="宋体"/>
                <w:sz w:val="24"/>
              </w:rPr>
            </w:pPr>
            <w:r>
              <w:rPr>
                <w:rFonts w:hint="eastAsia" w:ascii="宋体" w:hAnsi="宋体" w:cs="宋体"/>
                <w:sz w:val="24"/>
              </w:rPr>
              <w:t>硬件参数：规格：1U，内存大小：8G，硬盘容量：128GB SSD+ 4TB SATA，电源：单电源，接口：6千兆电口+2千兆光口SFP。</w:t>
            </w:r>
          </w:p>
          <w:p w14:paraId="57E5AAE0">
            <w:pPr>
              <w:adjustRightInd w:val="0"/>
              <w:snapToGrid w:val="0"/>
              <w:rPr>
                <w:rFonts w:ascii="宋体" w:hAnsi="宋体" w:cs="宋体"/>
                <w:sz w:val="24"/>
              </w:rPr>
            </w:pPr>
          </w:p>
        </w:tc>
        <w:tc>
          <w:tcPr>
            <w:tcW w:w="788" w:type="dxa"/>
            <w:shd w:val="clear" w:color="auto" w:fill="FFFFFF"/>
          </w:tcPr>
          <w:p w14:paraId="0E407E71">
            <w:pPr>
              <w:adjustRightInd w:val="0"/>
              <w:snapToGrid w:val="0"/>
              <w:rPr>
                <w:rFonts w:ascii="宋体" w:hAnsi="宋体" w:cs="宋体"/>
                <w:sz w:val="24"/>
              </w:rPr>
            </w:pPr>
          </w:p>
          <w:p w14:paraId="29E6FE9D">
            <w:pPr>
              <w:adjustRightInd w:val="0"/>
              <w:snapToGrid w:val="0"/>
              <w:rPr>
                <w:rFonts w:ascii="宋体" w:hAnsi="宋体" w:cs="宋体"/>
                <w:sz w:val="24"/>
              </w:rPr>
            </w:pPr>
          </w:p>
          <w:p w14:paraId="43400BF0">
            <w:pPr>
              <w:adjustRightInd w:val="0"/>
              <w:snapToGrid w:val="0"/>
              <w:rPr>
                <w:rFonts w:ascii="宋体" w:hAnsi="宋体" w:cs="宋体"/>
                <w:sz w:val="24"/>
              </w:rPr>
            </w:pPr>
          </w:p>
          <w:p w14:paraId="6911E87F">
            <w:pPr>
              <w:adjustRightInd w:val="0"/>
              <w:snapToGrid w:val="0"/>
              <w:rPr>
                <w:rFonts w:ascii="宋体" w:hAnsi="宋体" w:cs="宋体"/>
                <w:sz w:val="24"/>
              </w:rPr>
            </w:pPr>
            <w:r>
              <w:rPr>
                <w:rFonts w:hint="eastAsia" w:ascii="宋体" w:hAnsi="宋体" w:cs="宋体"/>
                <w:sz w:val="24"/>
              </w:rPr>
              <w:t>1台</w:t>
            </w:r>
          </w:p>
        </w:tc>
      </w:tr>
      <w:tr w14:paraId="64BD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30" w:hRule="atLeast"/>
          <w:jc w:val="center"/>
        </w:trPr>
        <w:tc>
          <w:tcPr>
            <w:tcW w:w="635" w:type="dxa"/>
            <w:shd w:val="clear" w:color="auto" w:fill="FFFFFF"/>
            <w:vAlign w:val="center"/>
          </w:tcPr>
          <w:p w14:paraId="78DB42D2">
            <w:pPr>
              <w:adjustRightInd w:val="0"/>
              <w:snapToGrid w:val="0"/>
              <w:jc w:val="center"/>
              <w:rPr>
                <w:rFonts w:ascii="宋体" w:hAnsi="宋体" w:cs="宋体"/>
                <w:sz w:val="24"/>
              </w:rPr>
            </w:pPr>
            <w:r>
              <w:rPr>
                <w:rFonts w:hint="eastAsia" w:ascii="宋体" w:hAnsi="宋体" w:cs="宋体"/>
                <w:sz w:val="24"/>
              </w:rPr>
              <w:t>12</w:t>
            </w:r>
          </w:p>
        </w:tc>
        <w:tc>
          <w:tcPr>
            <w:tcW w:w="1111" w:type="dxa"/>
            <w:shd w:val="clear" w:color="auto" w:fill="FFFFFF"/>
            <w:vAlign w:val="center"/>
          </w:tcPr>
          <w:p w14:paraId="23AC3E34">
            <w:pPr>
              <w:adjustRightInd w:val="0"/>
              <w:snapToGrid w:val="0"/>
              <w:rPr>
                <w:rFonts w:ascii="宋体" w:hAnsi="宋体" w:cs="宋体"/>
                <w:sz w:val="24"/>
              </w:rPr>
            </w:pPr>
            <w:r>
              <w:rPr>
                <w:rFonts w:hint="eastAsia" w:ascii="宋体" w:hAnsi="宋体" w:cs="宋体"/>
                <w:sz w:val="24"/>
              </w:rPr>
              <w:t>病毒防护系统</w:t>
            </w:r>
          </w:p>
          <w:p w14:paraId="265915A9">
            <w:pPr>
              <w:adjustRightInd w:val="0"/>
              <w:snapToGrid w:val="0"/>
              <w:rPr>
                <w:rFonts w:ascii="宋体" w:hAnsi="宋体" w:cs="宋体"/>
                <w:sz w:val="24"/>
              </w:rPr>
            </w:pPr>
          </w:p>
        </w:tc>
        <w:tc>
          <w:tcPr>
            <w:tcW w:w="5762" w:type="dxa"/>
            <w:shd w:val="clear" w:color="auto" w:fill="FFFFFF"/>
            <w:vAlign w:val="center"/>
          </w:tcPr>
          <w:p w14:paraId="25263427">
            <w:pPr>
              <w:adjustRightInd w:val="0"/>
              <w:snapToGrid w:val="0"/>
              <w:rPr>
                <w:rFonts w:ascii="宋体" w:hAnsi="宋体" w:cs="宋体"/>
                <w:sz w:val="24"/>
              </w:rPr>
            </w:pPr>
            <w:r>
              <w:rPr>
                <w:rFonts w:hint="eastAsia" w:ascii="宋体" w:hAnsi="宋体" w:cs="宋体"/>
                <w:sz w:val="24"/>
              </w:rPr>
              <w:t>性能参数：网络层吞吐量：20G，应用层吞吐量：10G，防病毒吞吐量：1.5G，IPS吞吐量：1.5G，全威胁吞吐量（不含WAF）：1G，并发连接数：300万，HTTP新建连接数：9万，SSL VPN推荐用户数（单独购买）：30，SSL VPN最大用户数（单独购买）：80，SSL VPN最大理论加密流量（单独购买）：250M，IPSec VPN 最大接入数：1000，IPSec  VPN吞吐量：700M。</w:t>
            </w:r>
          </w:p>
          <w:p w14:paraId="4C003A3E">
            <w:pPr>
              <w:adjustRightInd w:val="0"/>
              <w:snapToGrid w:val="0"/>
              <w:rPr>
                <w:rFonts w:ascii="宋体" w:hAnsi="宋体" w:cs="宋体"/>
                <w:sz w:val="24"/>
              </w:rPr>
            </w:pPr>
            <w:r>
              <w:rPr>
                <w:rFonts w:hint="eastAsia" w:ascii="宋体" w:hAnsi="宋体" w:cs="宋体"/>
                <w:sz w:val="24"/>
              </w:rPr>
              <w:t>硬件参数：规格：1U，内存大小：8G，硬盘容量：128G SSD，电源：单电源，接口：8千兆电口+2万兆光口SFP+。1套* 软件基础级;</w:t>
            </w:r>
          </w:p>
          <w:p w14:paraId="64E134EB">
            <w:pPr>
              <w:adjustRightInd w:val="0"/>
              <w:snapToGrid w:val="0"/>
              <w:rPr>
                <w:rFonts w:ascii="宋体" w:hAnsi="宋体" w:cs="宋体"/>
                <w:sz w:val="24"/>
              </w:rPr>
            </w:pPr>
            <w:r>
              <w:rPr>
                <w:rFonts w:hint="eastAsia" w:ascii="宋体" w:hAnsi="宋体" w:cs="宋体"/>
                <w:sz w:val="24"/>
              </w:rPr>
              <w:t>3套* 网关杀毒升级许可;</w:t>
            </w:r>
          </w:p>
          <w:p w14:paraId="4FDB4D9F">
            <w:pPr>
              <w:adjustRightInd w:val="0"/>
              <w:snapToGrid w:val="0"/>
              <w:rPr>
                <w:rFonts w:ascii="宋体" w:hAnsi="宋体" w:cs="宋体"/>
                <w:sz w:val="24"/>
              </w:rPr>
            </w:pPr>
            <w:r>
              <w:rPr>
                <w:rFonts w:hint="eastAsia" w:ascii="宋体" w:hAnsi="宋体" w:cs="宋体"/>
                <w:sz w:val="24"/>
              </w:rPr>
              <w:t>1套* 网关杀毒模块）;</w:t>
            </w:r>
          </w:p>
          <w:p w14:paraId="4902869B">
            <w:pPr>
              <w:adjustRightInd w:val="0"/>
              <w:snapToGrid w:val="0"/>
              <w:rPr>
                <w:rFonts w:ascii="宋体" w:hAnsi="宋体" w:cs="宋体"/>
                <w:sz w:val="24"/>
              </w:rPr>
            </w:pPr>
            <w:r>
              <w:rPr>
                <w:rFonts w:hint="eastAsia" w:ascii="宋体" w:hAnsi="宋体" w:cs="宋体"/>
                <w:sz w:val="24"/>
              </w:rPr>
              <w:t>3套* 云智订阅软件（AF8.0.7及以上版本适用）;</w:t>
            </w:r>
          </w:p>
          <w:p w14:paraId="0185C86E">
            <w:pPr>
              <w:adjustRightInd w:val="0"/>
              <w:snapToGrid w:val="0"/>
              <w:rPr>
                <w:rFonts w:ascii="宋体" w:hAnsi="宋体" w:cs="宋体"/>
                <w:sz w:val="24"/>
              </w:rPr>
            </w:pPr>
            <w:r>
              <w:rPr>
                <w:rFonts w:hint="eastAsia" w:ascii="宋体" w:hAnsi="宋体" w:cs="宋体"/>
                <w:sz w:val="24"/>
              </w:rPr>
              <w:t>1套 3年* 威胁情报网关订阅软件【含新】;</w:t>
            </w:r>
          </w:p>
          <w:p w14:paraId="73159185">
            <w:pPr>
              <w:adjustRightInd w:val="0"/>
              <w:snapToGrid w:val="0"/>
              <w:rPr>
                <w:rFonts w:ascii="宋体" w:hAnsi="宋体" w:cs="宋体"/>
                <w:sz w:val="24"/>
              </w:rPr>
            </w:pPr>
            <w:r>
              <w:rPr>
                <w:rFonts w:hint="eastAsia" w:ascii="宋体" w:hAnsi="宋体" w:cs="宋体"/>
                <w:sz w:val="24"/>
              </w:rPr>
              <w:t>3年* 维保服务（标准版）;</w:t>
            </w:r>
          </w:p>
        </w:tc>
        <w:tc>
          <w:tcPr>
            <w:tcW w:w="788" w:type="dxa"/>
            <w:shd w:val="clear" w:color="auto" w:fill="FFFFFF"/>
          </w:tcPr>
          <w:p w14:paraId="4C5E8DDF">
            <w:pPr>
              <w:adjustRightInd w:val="0"/>
              <w:snapToGrid w:val="0"/>
              <w:rPr>
                <w:rFonts w:ascii="宋体" w:hAnsi="宋体" w:cs="宋体"/>
                <w:sz w:val="24"/>
              </w:rPr>
            </w:pPr>
          </w:p>
          <w:p w14:paraId="3BCBC1CB">
            <w:pPr>
              <w:adjustRightInd w:val="0"/>
              <w:snapToGrid w:val="0"/>
              <w:rPr>
                <w:rFonts w:ascii="宋体" w:hAnsi="宋体" w:cs="宋体"/>
                <w:sz w:val="24"/>
              </w:rPr>
            </w:pPr>
          </w:p>
          <w:p w14:paraId="582F1693">
            <w:pPr>
              <w:adjustRightInd w:val="0"/>
              <w:snapToGrid w:val="0"/>
              <w:rPr>
                <w:rFonts w:ascii="宋体" w:hAnsi="宋体" w:cs="宋体"/>
                <w:sz w:val="24"/>
              </w:rPr>
            </w:pPr>
          </w:p>
          <w:p w14:paraId="0D8BC3FE">
            <w:pPr>
              <w:adjustRightInd w:val="0"/>
              <w:snapToGrid w:val="0"/>
              <w:rPr>
                <w:rFonts w:ascii="宋体" w:hAnsi="宋体" w:cs="宋体"/>
                <w:sz w:val="24"/>
              </w:rPr>
            </w:pPr>
          </w:p>
          <w:p w14:paraId="00C5601F">
            <w:pPr>
              <w:adjustRightInd w:val="0"/>
              <w:snapToGrid w:val="0"/>
              <w:rPr>
                <w:rFonts w:ascii="宋体" w:hAnsi="宋体" w:cs="宋体"/>
                <w:sz w:val="24"/>
              </w:rPr>
            </w:pPr>
            <w:r>
              <w:rPr>
                <w:rFonts w:hint="eastAsia" w:ascii="宋体" w:hAnsi="宋体" w:cs="宋体"/>
                <w:sz w:val="24"/>
              </w:rPr>
              <w:t>1台</w:t>
            </w:r>
          </w:p>
        </w:tc>
      </w:tr>
      <w:tr w14:paraId="0461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3CEDD756">
            <w:pPr>
              <w:adjustRightInd w:val="0"/>
              <w:snapToGrid w:val="0"/>
              <w:jc w:val="center"/>
              <w:rPr>
                <w:rFonts w:ascii="宋体" w:hAnsi="宋体" w:cs="宋体"/>
                <w:sz w:val="24"/>
              </w:rPr>
            </w:pPr>
            <w:r>
              <w:rPr>
                <w:rFonts w:hint="eastAsia" w:ascii="宋体" w:hAnsi="宋体" w:cs="宋体"/>
                <w:sz w:val="24"/>
              </w:rPr>
              <w:t>13</w:t>
            </w:r>
          </w:p>
        </w:tc>
        <w:tc>
          <w:tcPr>
            <w:tcW w:w="1111" w:type="dxa"/>
            <w:shd w:val="clear" w:color="auto" w:fill="FFFFFF"/>
            <w:vAlign w:val="center"/>
          </w:tcPr>
          <w:p w14:paraId="51D49EE3">
            <w:pPr>
              <w:adjustRightInd w:val="0"/>
              <w:snapToGrid w:val="0"/>
              <w:rPr>
                <w:rFonts w:ascii="宋体" w:hAnsi="宋体" w:cs="宋体"/>
                <w:sz w:val="24"/>
              </w:rPr>
            </w:pPr>
            <w:r>
              <w:rPr>
                <w:rFonts w:hint="eastAsia" w:ascii="宋体" w:hAnsi="宋体" w:cs="宋体"/>
                <w:sz w:val="24"/>
              </w:rPr>
              <w:t>备份系统扩容</w:t>
            </w:r>
          </w:p>
        </w:tc>
        <w:tc>
          <w:tcPr>
            <w:tcW w:w="5762" w:type="dxa"/>
            <w:shd w:val="clear" w:color="auto" w:fill="FFFFFF"/>
            <w:vAlign w:val="center"/>
          </w:tcPr>
          <w:p w14:paraId="0A80DC81">
            <w:pPr>
              <w:adjustRightInd w:val="0"/>
              <w:snapToGrid w:val="0"/>
              <w:rPr>
                <w:rFonts w:ascii="宋体" w:hAnsi="宋体" w:cs="宋体"/>
                <w:sz w:val="24"/>
              </w:rPr>
            </w:pPr>
            <w:r>
              <w:rPr>
                <w:rFonts w:hint="eastAsia" w:ascii="宋体" w:hAnsi="宋体" w:cs="宋体"/>
                <w:sz w:val="24"/>
              </w:rPr>
              <w:t>16TB后端容量数据备份代理（用于扩展定时备份功能备份一体机存储授权容量）</w:t>
            </w:r>
          </w:p>
          <w:p w14:paraId="66FCCCCB">
            <w:pPr>
              <w:adjustRightInd w:val="0"/>
              <w:snapToGrid w:val="0"/>
              <w:rPr>
                <w:rFonts w:ascii="宋体" w:hAnsi="宋体" w:cs="宋体"/>
                <w:sz w:val="24"/>
              </w:rPr>
            </w:pPr>
            <w:r>
              <w:rPr>
                <w:rFonts w:hint="eastAsia" w:ascii="宋体" w:hAnsi="宋体" w:cs="宋体"/>
                <w:sz w:val="24"/>
              </w:rPr>
              <w:t>需要与院内使用系统匹配</w:t>
            </w:r>
          </w:p>
        </w:tc>
        <w:tc>
          <w:tcPr>
            <w:tcW w:w="788" w:type="dxa"/>
            <w:shd w:val="clear" w:color="auto" w:fill="FFFFFF"/>
          </w:tcPr>
          <w:p w14:paraId="0038D0E6">
            <w:pPr>
              <w:adjustRightInd w:val="0"/>
              <w:snapToGrid w:val="0"/>
              <w:rPr>
                <w:rFonts w:ascii="宋体" w:hAnsi="宋体" w:cs="宋体"/>
                <w:sz w:val="24"/>
              </w:rPr>
            </w:pPr>
          </w:p>
          <w:p w14:paraId="137B1C6B">
            <w:pPr>
              <w:adjustRightInd w:val="0"/>
              <w:snapToGrid w:val="0"/>
              <w:rPr>
                <w:rFonts w:ascii="宋体" w:hAnsi="宋体" w:cs="宋体"/>
                <w:sz w:val="24"/>
              </w:rPr>
            </w:pPr>
            <w:r>
              <w:rPr>
                <w:rFonts w:hint="eastAsia" w:ascii="宋体" w:hAnsi="宋体" w:cs="宋体"/>
                <w:sz w:val="24"/>
              </w:rPr>
              <w:t>1项</w:t>
            </w:r>
          </w:p>
        </w:tc>
      </w:tr>
      <w:tr w14:paraId="0436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 w:hRule="atLeast"/>
          <w:jc w:val="center"/>
        </w:trPr>
        <w:tc>
          <w:tcPr>
            <w:tcW w:w="635" w:type="dxa"/>
            <w:shd w:val="clear" w:color="auto" w:fill="FFFFFF"/>
            <w:vAlign w:val="center"/>
          </w:tcPr>
          <w:p w14:paraId="29C7AFCD">
            <w:pPr>
              <w:adjustRightInd w:val="0"/>
              <w:snapToGrid w:val="0"/>
              <w:jc w:val="center"/>
              <w:rPr>
                <w:rFonts w:ascii="宋体" w:hAnsi="宋体" w:cs="宋体"/>
                <w:sz w:val="24"/>
              </w:rPr>
            </w:pPr>
            <w:r>
              <w:rPr>
                <w:rFonts w:hint="eastAsia" w:ascii="宋体" w:hAnsi="宋体" w:cs="宋体"/>
                <w:sz w:val="24"/>
              </w:rPr>
              <w:t>14</w:t>
            </w:r>
          </w:p>
        </w:tc>
        <w:tc>
          <w:tcPr>
            <w:tcW w:w="1111" w:type="dxa"/>
            <w:shd w:val="clear" w:color="auto" w:fill="FFFFFF"/>
            <w:vAlign w:val="center"/>
          </w:tcPr>
          <w:p w14:paraId="62E85705">
            <w:pPr>
              <w:adjustRightInd w:val="0"/>
              <w:snapToGrid w:val="0"/>
              <w:rPr>
                <w:rFonts w:ascii="宋体" w:hAnsi="宋体" w:cs="宋体"/>
                <w:sz w:val="24"/>
              </w:rPr>
            </w:pPr>
            <w:r>
              <w:rPr>
                <w:rFonts w:hint="eastAsia" w:ascii="宋体" w:hAnsi="宋体" w:cs="宋体"/>
                <w:sz w:val="24"/>
              </w:rPr>
              <w:t>智能攻击防护系统授权扩容</w:t>
            </w:r>
          </w:p>
        </w:tc>
        <w:tc>
          <w:tcPr>
            <w:tcW w:w="5762" w:type="dxa"/>
            <w:shd w:val="clear" w:color="auto" w:fill="FFFFFF"/>
            <w:vAlign w:val="center"/>
          </w:tcPr>
          <w:p w14:paraId="1F9B5346">
            <w:pPr>
              <w:adjustRightInd w:val="0"/>
              <w:snapToGrid w:val="0"/>
              <w:rPr>
                <w:rFonts w:ascii="宋体" w:hAnsi="宋体" w:cs="宋体"/>
                <w:sz w:val="24"/>
              </w:rPr>
            </w:pPr>
            <w:r>
              <w:rPr>
                <w:rFonts w:hint="eastAsia" w:ascii="宋体" w:hAnsi="宋体" w:cs="宋体"/>
                <w:sz w:val="24"/>
              </w:rPr>
              <w:t>开通入侵防护授权、入侵防护系统特征升级3（年）</w:t>
            </w:r>
          </w:p>
          <w:p w14:paraId="0CCB4C02">
            <w:pPr>
              <w:adjustRightInd w:val="0"/>
              <w:snapToGrid w:val="0"/>
              <w:rPr>
                <w:rFonts w:ascii="宋体" w:hAnsi="宋体" w:cs="宋体"/>
                <w:sz w:val="24"/>
              </w:rPr>
            </w:pPr>
            <w:r>
              <w:rPr>
                <w:rFonts w:hint="eastAsia" w:ascii="宋体" w:hAnsi="宋体" w:cs="宋体"/>
                <w:sz w:val="24"/>
              </w:rPr>
              <w:t>需要与院内使用系统匹配</w:t>
            </w:r>
          </w:p>
        </w:tc>
        <w:tc>
          <w:tcPr>
            <w:tcW w:w="788" w:type="dxa"/>
            <w:shd w:val="clear" w:color="auto" w:fill="FFFFFF"/>
          </w:tcPr>
          <w:p w14:paraId="40E8E52F">
            <w:pPr>
              <w:adjustRightInd w:val="0"/>
              <w:snapToGrid w:val="0"/>
              <w:rPr>
                <w:rFonts w:ascii="宋体" w:hAnsi="宋体" w:cs="宋体"/>
                <w:sz w:val="24"/>
              </w:rPr>
            </w:pPr>
          </w:p>
          <w:p w14:paraId="564BBEF7">
            <w:pPr>
              <w:adjustRightInd w:val="0"/>
              <w:snapToGrid w:val="0"/>
              <w:rPr>
                <w:rFonts w:ascii="宋体" w:hAnsi="宋体" w:cs="宋体"/>
                <w:sz w:val="24"/>
              </w:rPr>
            </w:pPr>
          </w:p>
          <w:p w14:paraId="2C59471A">
            <w:pPr>
              <w:adjustRightInd w:val="0"/>
              <w:snapToGrid w:val="0"/>
              <w:rPr>
                <w:rFonts w:ascii="宋体" w:hAnsi="宋体" w:cs="宋体"/>
                <w:sz w:val="24"/>
              </w:rPr>
            </w:pPr>
            <w:r>
              <w:rPr>
                <w:rFonts w:hint="eastAsia" w:ascii="宋体" w:hAnsi="宋体" w:cs="宋体"/>
                <w:sz w:val="24"/>
              </w:rPr>
              <w:t>1项</w:t>
            </w:r>
          </w:p>
        </w:tc>
      </w:tr>
    </w:tbl>
    <w:p w14:paraId="22BB3224">
      <w:pPr>
        <w:rPr>
          <w:rFonts w:ascii="宋体" w:hAnsi="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EBCD3"/>
    <w:multiLevelType w:val="singleLevel"/>
    <w:tmpl w:val="161EBC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01A0"/>
    <w:rsid w:val="000305F9"/>
    <w:rsid w:val="00053E21"/>
    <w:rsid w:val="000B5BA2"/>
    <w:rsid w:val="001049D8"/>
    <w:rsid w:val="00114DD9"/>
    <w:rsid w:val="00115F43"/>
    <w:rsid w:val="001A00AE"/>
    <w:rsid w:val="001C0AD1"/>
    <w:rsid w:val="00243808"/>
    <w:rsid w:val="00264AB4"/>
    <w:rsid w:val="00267391"/>
    <w:rsid w:val="002B2D1F"/>
    <w:rsid w:val="003416F1"/>
    <w:rsid w:val="00350FE9"/>
    <w:rsid w:val="003B62D1"/>
    <w:rsid w:val="003C1F9E"/>
    <w:rsid w:val="004217C6"/>
    <w:rsid w:val="00435EBF"/>
    <w:rsid w:val="00483EFF"/>
    <w:rsid w:val="004A18F5"/>
    <w:rsid w:val="004A31E7"/>
    <w:rsid w:val="00510C90"/>
    <w:rsid w:val="00550FBD"/>
    <w:rsid w:val="00590518"/>
    <w:rsid w:val="005B3FE2"/>
    <w:rsid w:val="00617389"/>
    <w:rsid w:val="00663EF7"/>
    <w:rsid w:val="006758EA"/>
    <w:rsid w:val="006B5AEE"/>
    <w:rsid w:val="006E3AD6"/>
    <w:rsid w:val="006F6B19"/>
    <w:rsid w:val="00730C50"/>
    <w:rsid w:val="0074047A"/>
    <w:rsid w:val="007F7E9D"/>
    <w:rsid w:val="00805095"/>
    <w:rsid w:val="008D2D09"/>
    <w:rsid w:val="009045BE"/>
    <w:rsid w:val="009730AB"/>
    <w:rsid w:val="00993BF6"/>
    <w:rsid w:val="009A4068"/>
    <w:rsid w:val="009B37CD"/>
    <w:rsid w:val="00A56E53"/>
    <w:rsid w:val="00A77A8A"/>
    <w:rsid w:val="00A97B12"/>
    <w:rsid w:val="00AD26FC"/>
    <w:rsid w:val="00B25C11"/>
    <w:rsid w:val="00B872B4"/>
    <w:rsid w:val="00BA5B83"/>
    <w:rsid w:val="00BE6C59"/>
    <w:rsid w:val="00C353E4"/>
    <w:rsid w:val="00C95542"/>
    <w:rsid w:val="00CB69DC"/>
    <w:rsid w:val="00CF4EB0"/>
    <w:rsid w:val="00D41474"/>
    <w:rsid w:val="00D43903"/>
    <w:rsid w:val="00DA396F"/>
    <w:rsid w:val="00DB49CB"/>
    <w:rsid w:val="00DD4DB8"/>
    <w:rsid w:val="00E310CC"/>
    <w:rsid w:val="00E40D85"/>
    <w:rsid w:val="00E77927"/>
    <w:rsid w:val="00E803B5"/>
    <w:rsid w:val="00E90E5E"/>
    <w:rsid w:val="00E941CA"/>
    <w:rsid w:val="00EE5A15"/>
    <w:rsid w:val="00F701A0"/>
    <w:rsid w:val="00FA2D59"/>
    <w:rsid w:val="00FB58B8"/>
    <w:rsid w:val="00FF09DF"/>
    <w:rsid w:val="06153518"/>
    <w:rsid w:val="0B165B61"/>
    <w:rsid w:val="1B296A52"/>
    <w:rsid w:val="1B3B4A11"/>
    <w:rsid w:val="1C77755C"/>
    <w:rsid w:val="27670892"/>
    <w:rsid w:val="30285DC6"/>
    <w:rsid w:val="41625E59"/>
    <w:rsid w:val="42AF413D"/>
    <w:rsid w:val="49115BD9"/>
    <w:rsid w:val="4C5E6D05"/>
    <w:rsid w:val="5DD74B90"/>
    <w:rsid w:val="650B2301"/>
    <w:rsid w:val="69994134"/>
    <w:rsid w:val="71BF11A7"/>
    <w:rsid w:val="7FDB4B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21"/>
    <w:unhideWhenUsed/>
    <w:qFormat/>
    <w:uiPriority w:val="0"/>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7"/>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85858" w:themeColor="text1" w:themeTint="A6"/>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40"/>
    <w:semiHidden/>
    <w:unhideWhenUsed/>
    <w:qFormat/>
    <w:uiPriority w:val="99"/>
    <w:pPr>
      <w:spacing w:after="120"/>
    </w:pPr>
  </w:style>
  <w:style w:type="paragraph" w:styleId="12">
    <w:name w:val="Plain Text"/>
    <w:basedOn w:val="1"/>
    <w:link w:val="42"/>
    <w:qFormat/>
    <w:uiPriority w:val="0"/>
    <w:rPr>
      <w:rFonts w:ascii="宋体"/>
      <w:szCs w:val="20"/>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0"/>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Strong"/>
    <w:basedOn w:val="18"/>
    <w:qFormat/>
    <w:uiPriority w:val="22"/>
    <w:rPr>
      <w:b/>
    </w:rPr>
  </w:style>
  <w:style w:type="character" w:customStyle="1" w:styleId="20">
    <w:name w:val="标题 1 Char"/>
    <w:basedOn w:val="18"/>
    <w:link w:val="2"/>
    <w:qFormat/>
    <w:uiPriority w:val="0"/>
    <w:rPr>
      <w:rFonts w:asciiTheme="majorHAnsi" w:hAnsiTheme="majorHAnsi" w:eastAsiaTheme="majorEastAsia" w:cstheme="majorBidi"/>
      <w:color w:val="0F4761" w:themeColor="accent1" w:themeShade="BF"/>
      <w:sz w:val="48"/>
      <w:szCs w:val="48"/>
    </w:rPr>
  </w:style>
  <w:style w:type="character" w:customStyle="1" w:styleId="21">
    <w:name w:val="标题 2 Char"/>
    <w:basedOn w:val="18"/>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22">
    <w:name w:val="标题 3 Char"/>
    <w:basedOn w:val="18"/>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3">
    <w:name w:val="标题 4 Char"/>
    <w:basedOn w:val="18"/>
    <w:link w:val="5"/>
    <w:semiHidden/>
    <w:qFormat/>
    <w:uiPriority w:val="9"/>
    <w:rPr>
      <w:rFonts w:cstheme="majorBidi"/>
      <w:color w:val="0F4761" w:themeColor="accent1" w:themeShade="BF"/>
      <w:sz w:val="28"/>
      <w:szCs w:val="28"/>
    </w:rPr>
  </w:style>
  <w:style w:type="character" w:customStyle="1" w:styleId="24">
    <w:name w:val="标题 5 Char"/>
    <w:basedOn w:val="18"/>
    <w:link w:val="6"/>
    <w:semiHidden/>
    <w:qFormat/>
    <w:uiPriority w:val="9"/>
    <w:rPr>
      <w:rFonts w:cstheme="majorBidi"/>
      <w:color w:val="0F4761" w:themeColor="accent1" w:themeShade="BF"/>
      <w:sz w:val="24"/>
      <w:szCs w:val="24"/>
    </w:rPr>
  </w:style>
  <w:style w:type="character" w:customStyle="1" w:styleId="25">
    <w:name w:val="标题 6 Char"/>
    <w:basedOn w:val="18"/>
    <w:link w:val="7"/>
    <w:semiHidden/>
    <w:qFormat/>
    <w:uiPriority w:val="9"/>
    <w:rPr>
      <w:rFonts w:cstheme="majorBidi"/>
      <w:b/>
      <w:bCs/>
      <w:color w:val="0F4761" w:themeColor="accent1" w:themeShade="BF"/>
    </w:rPr>
  </w:style>
  <w:style w:type="character" w:customStyle="1" w:styleId="26">
    <w:name w:val="标题 7 Char"/>
    <w:basedOn w:val="18"/>
    <w:link w:val="8"/>
    <w:semiHidden/>
    <w:qFormat/>
    <w:uiPriority w:val="9"/>
    <w:rPr>
      <w:rFonts w:cstheme="majorBidi"/>
      <w:b/>
      <w:bCs/>
      <w:color w:val="585858" w:themeColor="text1" w:themeTint="A6"/>
    </w:rPr>
  </w:style>
  <w:style w:type="character" w:customStyle="1" w:styleId="27">
    <w:name w:val="标题 8 Char"/>
    <w:basedOn w:val="18"/>
    <w:link w:val="9"/>
    <w:semiHidden/>
    <w:qFormat/>
    <w:uiPriority w:val="9"/>
    <w:rPr>
      <w:rFonts w:cstheme="majorBidi"/>
      <w:color w:val="585858" w:themeColor="text1" w:themeTint="A6"/>
    </w:rPr>
  </w:style>
  <w:style w:type="character" w:customStyle="1" w:styleId="28">
    <w:name w:val="标题 9 Char"/>
    <w:basedOn w:val="18"/>
    <w:link w:val="10"/>
    <w:semiHidden/>
    <w:qFormat/>
    <w:uiPriority w:val="9"/>
    <w:rPr>
      <w:rFonts w:eastAsiaTheme="majorEastAsia" w:cstheme="majorBidi"/>
      <w:color w:val="585858" w:themeColor="text1" w:themeTint="A6"/>
    </w:rPr>
  </w:style>
  <w:style w:type="character" w:customStyle="1" w:styleId="29">
    <w:name w:val="标题 Char"/>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8"/>
    <w:link w:val="15"/>
    <w:qFormat/>
    <w:uiPriority w:val="11"/>
    <w:rPr>
      <w:rFonts w:asciiTheme="majorHAnsi" w:hAnsiTheme="majorHAnsi" w:eastAsiaTheme="majorEastAsia" w:cstheme="majorBidi"/>
      <w:color w:val="585858" w:themeColor="text1" w:themeTint="A6"/>
      <w:spacing w:val="15"/>
      <w:sz w:val="28"/>
      <w:szCs w:val="28"/>
    </w:rPr>
  </w:style>
  <w:style w:type="paragraph" w:styleId="31">
    <w:name w:val="Quote"/>
    <w:basedOn w:val="1"/>
    <w:next w:val="1"/>
    <w:link w:val="32"/>
    <w:qFormat/>
    <w:uiPriority w:val="29"/>
    <w:pPr>
      <w:spacing w:before="160" w:after="160"/>
      <w:jc w:val="center"/>
    </w:pPr>
    <w:rPr>
      <w:i/>
      <w:iCs/>
      <w:color w:val="3F3F3F" w:themeColor="text1" w:themeTint="BF"/>
    </w:rPr>
  </w:style>
  <w:style w:type="character" w:customStyle="1" w:styleId="32">
    <w:name w:val="引用 Char"/>
    <w:basedOn w:val="18"/>
    <w:link w:val="31"/>
    <w:qFormat/>
    <w:uiPriority w:val="29"/>
    <w:rPr>
      <w:i/>
      <w:iCs/>
      <w:color w:val="3F3F3F" w:themeColor="text1" w:themeTint="BF"/>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0F4761"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6">
    <w:name w:val="明显引用 Char"/>
    <w:basedOn w:val="18"/>
    <w:link w:val="35"/>
    <w:qFormat/>
    <w:uiPriority w:val="30"/>
    <w:rPr>
      <w:i/>
      <w:iCs/>
      <w:color w:val="0F4761" w:themeColor="accent1" w:themeShade="BF"/>
    </w:rPr>
  </w:style>
  <w:style w:type="character" w:customStyle="1" w:styleId="37">
    <w:name w:val="明显参考1"/>
    <w:basedOn w:val="18"/>
    <w:qFormat/>
    <w:uiPriority w:val="32"/>
    <w:rPr>
      <w:b/>
      <w:bCs/>
      <w:smallCaps/>
      <w:color w:val="0F4761" w:themeColor="accent1" w:themeShade="BF"/>
      <w:spacing w:val="5"/>
    </w:rPr>
  </w:style>
  <w:style w:type="character" w:customStyle="1" w:styleId="38">
    <w:name w:val="页眉 Char"/>
    <w:basedOn w:val="18"/>
    <w:link w:val="14"/>
    <w:qFormat/>
    <w:uiPriority w:val="0"/>
    <w:rPr>
      <w:sz w:val="18"/>
      <w:szCs w:val="18"/>
    </w:rPr>
  </w:style>
  <w:style w:type="character" w:customStyle="1" w:styleId="39">
    <w:name w:val="页脚 Char"/>
    <w:basedOn w:val="18"/>
    <w:link w:val="13"/>
    <w:qFormat/>
    <w:uiPriority w:val="99"/>
    <w:rPr>
      <w:sz w:val="18"/>
      <w:szCs w:val="18"/>
    </w:rPr>
  </w:style>
  <w:style w:type="character" w:customStyle="1" w:styleId="40">
    <w:name w:val="正文文本 Char"/>
    <w:basedOn w:val="18"/>
    <w:link w:val="11"/>
    <w:semiHidden/>
    <w:qFormat/>
    <w:uiPriority w:val="99"/>
    <w:rPr>
      <w:rFonts w:ascii="Times New Roman" w:hAnsi="Times New Roman" w:eastAsia="宋体" w:cs="Times New Roman"/>
      <w:szCs w:val="24"/>
    </w:rPr>
  </w:style>
  <w:style w:type="character" w:customStyle="1" w:styleId="41">
    <w:name w:val="纯文本 字符"/>
    <w:basedOn w:val="18"/>
    <w:semiHidden/>
    <w:qFormat/>
    <w:uiPriority w:val="99"/>
    <w:rPr>
      <w:rFonts w:hAnsi="Courier New" w:cs="Courier New" w:asciiTheme="minorEastAsia"/>
      <w:szCs w:val="24"/>
    </w:rPr>
  </w:style>
  <w:style w:type="character" w:customStyle="1" w:styleId="42">
    <w:name w:val="纯文本 Char"/>
    <w:link w:val="12"/>
    <w:qFormat/>
    <w:uiPriority w:val="0"/>
    <w:rPr>
      <w:rFonts w:ascii="宋体"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7766</Words>
  <Characters>8537</Characters>
  <Lines>63</Lines>
  <Paragraphs>17</Paragraphs>
  <TotalTime>3</TotalTime>
  <ScaleCrop>false</ScaleCrop>
  <LinksUpToDate>false</LinksUpToDate>
  <CharactersWithSpaces>8629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2026-04-09T08:01:00Z</dcterms:created>
  <dc:creator>sir Flong</dc:creator>
  <cp:lastModifiedBy>微信用户</cp:lastModifiedBy>
  <dcterms:modified xsi:type="dcterms:W3CDTF">2026-04-21T00:51:32Z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eyJoZGlkIjoiNmRiYmYwZjIwMmFhMTY1ZTM2NjQ4ODBhNTEwOTIyMzUiLCJ1c2VySWQiOiIxMjU4NTI4NzEwIn0=</vt:lpwstr>
  </property>
  <property fmtid="{D5CDD505-2E9C-101B-9397-08002B2CF9AE}" pid="3" name="KSOProductBuildVer">
    <vt:lpwstr>2052-12.1.0.25865</vt:lpwstr>
  </property>
  <property fmtid="{D5CDD505-2E9C-101B-9397-08002B2CF9AE}" pid="4" name="ICV">
    <vt:lpwstr>8F2F6B83C29D47B998AE5BF60916FF9A_12</vt:lpwstr>
  </property>
</Properties>
</file>